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3AF2" w:rsidRDefault="00143AF2">
      <w:pPr>
        <w:outlineLvl w:val="0"/>
        <w:rPr>
          <w:b/>
          <w:sz w:val="22"/>
          <w:szCs w:val="22"/>
        </w:rPr>
      </w:pPr>
    </w:p>
    <w:p w:rsidR="00143AF2" w:rsidRDefault="00143AF2">
      <w:pPr>
        <w:outlineLvl w:val="0"/>
        <w:rPr>
          <w:b/>
          <w:sz w:val="22"/>
          <w:szCs w:val="22"/>
        </w:rPr>
      </w:pPr>
      <w:r>
        <w:rPr>
          <w:b/>
          <w:sz w:val="22"/>
          <w:szCs w:val="22"/>
        </w:rPr>
        <w:t>NOTES TO THE INTERIM FINANCIAL REPORT</w:t>
      </w:r>
    </w:p>
    <w:p w:rsidR="00143AF2" w:rsidRDefault="00143AF2">
      <w:pPr>
        <w:jc w:val="both"/>
        <w:rPr>
          <w:snapToGrid w:val="0"/>
          <w:color w:val="000000"/>
          <w:sz w:val="22"/>
          <w:szCs w:val="22"/>
        </w:rPr>
      </w:pPr>
    </w:p>
    <w:p w:rsidR="00143AF2" w:rsidRDefault="00143AF2">
      <w:pPr>
        <w:pStyle w:val="BodyTextIndent3"/>
        <w:ind w:left="0" w:firstLine="0"/>
        <w:rPr>
          <w:b/>
          <w:szCs w:val="22"/>
        </w:rPr>
      </w:pPr>
      <w:r>
        <w:rPr>
          <w:b/>
          <w:szCs w:val="22"/>
        </w:rPr>
        <w:t>A1.</w:t>
      </w:r>
      <w:r>
        <w:rPr>
          <w:b/>
          <w:szCs w:val="22"/>
        </w:rPr>
        <w:tab/>
        <w:t>Basis of Preparation</w:t>
      </w:r>
    </w:p>
    <w:p w:rsidR="00143AF2" w:rsidRDefault="00143AF2">
      <w:pPr>
        <w:pStyle w:val="BodyTextIndent3"/>
        <w:ind w:firstLine="0"/>
        <w:rPr>
          <w:szCs w:val="22"/>
        </w:rPr>
      </w:pPr>
    </w:p>
    <w:p w:rsidR="00143AF2" w:rsidRDefault="00B34DFD" w:rsidP="00B34DFD">
      <w:pPr>
        <w:pStyle w:val="BodyTextIndent3"/>
        <w:ind w:firstLine="0"/>
        <w:rPr>
          <w:szCs w:val="22"/>
        </w:rPr>
      </w:pPr>
      <w:r>
        <w:rPr>
          <w:szCs w:val="22"/>
        </w:rPr>
        <w:t xml:space="preserve">The interim financial report has been </w:t>
      </w:r>
      <w:r w:rsidR="00143AF2">
        <w:rPr>
          <w:szCs w:val="22"/>
        </w:rPr>
        <w:t xml:space="preserve">prepared in accordance with </w:t>
      </w:r>
      <w:r w:rsidR="00771232">
        <w:rPr>
          <w:szCs w:val="22"/>
        </w:rPr>
        <w:t xml:space="preserve">the </w:t>
      </w:r>
      <w:r w:rsidR="00143AF2">
        <w:rPr>
          <w:szCs w:val="22"/>
        </w:rPr>
        <w:t>Financial Reporting Standard (“FRS”) 134, Interim Financial Reporting issued by the Malaysian Accounting Standards Board, and Paragraph 9.22 of the Listing Requirements of the Bursa Malaysia Securities Berhad (“Bur</w:t>
      </w:r>
      <w:r w:rsidR="00360163">
        <w:rPr>
          <w:szCs w:val="22"/>
        </w:rPr>
        <w:t>sa Malaysia”).</w:t>
      </w:r>
    </w:p>
    <w:p w:rsidR="00143AF2" w:rsidRDefault="00143AF2">
      <w:pPr>
        <w:pStyle w:val="BodyTextIndent3"/>
        <w:ind w:firstLine="0"/>
        <w:rPr>
          <w:szCs w:val="22"/>
        </w:rPr>
      </w:pPr>
    </w:p>
    <w:p w:rsidR="00143AF2" w:rsidRDefault="00143AF2" w:rsidP="00B34DFD">
      <w:pPr>
        <w:pStyle w:val="BodyTextIndent3"/>
        <w:ind w:firstLine="0"/>
        <w:rPr>
          <w:szCs w:val="22"/>
        </w:rPr>
      </w:pPr>
      <w:r>
        <w:rPr>
          <w:szCs w:val="22"/>
        </w:rPr>
        <w:t xml:space="preserve">The interim financial report should be read in conjunction with </w:t>
      </w:r>
      <w:r w:rsidR="00771232">
        <w:rPr>
          <w:szCs w:val="22"/>
        </w:rPr>
        <w:t xml:space="preserve">the </w:t>
      </w:r>
      <w:r>
        <w:rPr>
          <w:szCs w:val="22"/>
        </w:rPr>
        <w:t xml:space="preserve">annual audited </w:t>
      </w:r>
      <w:r w:rsidR="00771232">
        <w:rPr>
          <w:szCs w:val="22"/>
        </w:rPr>
        <w:t>F</w:t>
      </w:r>
      <w:r>
        <w:rPr>
          <w:szCs w:val="22"/>
        </w:rPr>
        <w:t xml:space="preserve">inancial </w:t>
      </w:r>
      <w:r w:rsidR="00771232">
        <w:rPr>
          <w:szCs w:val="22"/>
        </w:rPr>
        <w:t>S</w:t>
      </w:r>
      <w:r>
        <w:rPr>
          <w:szCs w:val="22"/>
        </w:rPr>
        <w:t xml:space="preserve">tatements of the Group for the </w:t>
      </w:r>
      <w:r w:rsidR="00771232">
        <w:rPr>
          <w:szCs w:val="22"/>
        </w:rPr>
        <w:t xml:space="preserve">financial </w:t>
      </w:r>
      <w:r>
        <w:rPr>
          <w:szCs w:val="22"/>
        </w:rPr>
        <w:t xml:space="preserve">year ended </w:t>
      </w:r>
      <w:smartTag w:uri="urn:schemas-microsoft-com:office:smarttags" w:element="date">
        <w:smartTagPr>
          <w:attr w:name="Year" w:val="2012"/>
          <w:attr w:name="Day" w:val="30"/>
          <w:attr w:name="Month" w:val="9"/>
        </w:smartTagPr>
        <w:r>
          <w:rPr>
            <w:szCs w:val="22"/>
          </w:rPr>
          <w:t>3</w:t>
        </w:r>
        <w:r w:rsidR="007C13CA">
          <w:rPr>
            <w:szCs w:val="22"/>
          </w:rPr>
          <w:t>0 September</w:t>
        </w:r>
        <w:r w:rsidR="00B34DFD">
          <w:rPr>
            <w:szCs w:val="22"/>
          </w:rPr>
          <w:t xml:space="preserve"> 20</w:t>
        </w:r>
        <w:r w:rsidR="007C13CA">
          <w:rPr>
            <w:szCs w:val="22"/>
          </w:rPr>
          <w:t>12</w:t>
        </w:r>
      </w:smartTag>
      <w:r>
        <w:rPr>
          <w:szCs w:val="22"/>
        </w:rPr>
        <w:t>. The explanatory notes</w:t>
      </w:r>
      <w:r w:rsidR="006C451C">
        <w:rPr>
          <w:szCs w:val="22"/>
        </w:rPr>
        <w:t xml:space="preserve"> </w:t>
      </w:r>
      <w:r>
        <w:rPr>
          <w:szCs w:val="22"/>
        </w:rPr>
        <w:t xml:space="preserve">attached to the interim financial report provide an explanation of </w:t>
      </w:r>
      <w:r w:rsidR="00771232">
        <w:rPr>
          <w:szCs w:val="22"/>
        </w:rPr>
        <w:t xml:space="preserve">the </w:t>
      </w:r>
      <w:r>
        <w:rPr>
          <w:szCs w:val="22"/>
        </w:rPr>
        <w:t>events and transactions that are significant to an understanding of the changes in the financial position and performance of the Group since the fin</w:t>
      </w:r>
      <w:r w:rsidR="007C13CA">
        <w:rPr>
          <w:szCs w:val="22"/>
        </w:rPr>
        <w:t xml:space="preserve">ancial year ended </w:t>
      </w:r>
      <w:smartTag w:uri="urn:schemas-microsoft-com:office:smarttags" w:element="date">
        <w:smartTagPr>
          <w:attr w:name="Year" w:val="2012"/>
          <w:attr w:name="Day" w:val="30"/>
          <w:attr w:name="Month" w:val="9"/>
        </w:smartTagPr>
        <w:r w:rsidR="007C13CA">
          <w:rPr>
            <w:szCs w:val="22"/>
          </w:rPr>
          <w:t>30 September 2012</w:t>
        </w:r>
      </w:smartTag>
      <w:r>
        <w:rPr>
          <w:szCs w:val="22"/>
        </w:rPr>
        <w:t>.</w:t>
      </w:r>
    </w:p>
    <w:p w:rsidR="00143AF2" w:rsidRDefault="00143AF2">
      <w:pPr>
        <w:pStyle w:val="BodyTextIndent3"/>
        <w:ind w:firstLine="0"/>
        <w:rPr>
          <w:szCs w:val="22"/>
        </w:rPr>
      </w:pPr>
    </w:p>
    <w:p w:rsidR="006D47DC" w:rsidRDefault="006D47DC">
      <w:pPr>
        <w:pStyle w:val="BodyTextIndent3"/>
        <w:ind w:firstLine="0"/>
        <w:rPr>
          <w:szCs w:val="22"/>
        </w:rPr>
      </w:pPr>
    </w:p>
    <w:p w:rsidR="00685C3F" w:rsidRDefault="00685C3F">
      <w:pPr>
        <w:pStyle w:val="BodyTextIndent3"/>
        <w:ind w:firstLine="0"/>
        <w:rPr>
          <w:szCs w:val="22"/>
        </w:rPr>
      </w:pPr>
      <w:r>
        <w:rPr>
          <w:szCs w:val="22"/>
        </w:rPr>
        <w:t xml:space="preserve">The accounting policies and method of computation adopted by the Group in these </w:t>
      </w:r>
      <w:r w:rsidR="007C13CA">
        <w:rPr>
          <w:szCs w:val="22"/>
        </w:rPr>
        <w:t>First</w:t>
      </w:r>
      <w:r w:rsidR="004F6EAE">
        <w:rPr>
          <w:szCs w:val="22"/>
        </w:rPr>
        <w:t xml:space="preserve"> Quarter financial results are consistent with those adopted in our audited accounts f</w:t>
      </w:r>
      <w:r w:rsidR="007C13CA">
        <w:rPr>
          <w:szCs w:val="22"/>
        </w:rPr>
        <w:t>or the financial year ended 30 September 2012</w:t>
      </w:r>
      <w:r w:rsidR="004F6EAE">
        <w:rPr>
          <w:szCs w:val="22"/>
        </w:rPr>
        <w:t>, except for the adoption of the following new and revised Financial Reporting Standard (FRSs), Amendments to FRSs and IC interpretations.</w:t>
      </w:r>
    </w:p>
    <w:p w:rsidR="00685C3F" w:rsidRDefault="00685C3F">
      <w:pPr>
        <w:pStyle w:val="BodyTextIndent3"/>
        <w:ind w:firstLine="0"/>
        <w:rPr>
          <w:szCs w:val="22"/>
        </w:rPr>
      </w:pPr>
    </w:p>
    <w:p w:rsidR="004F6EAE" w:rsidRPr="004F6EAE" w:rsidRDefault="004F6EAE">
      <w:pPr>
        <w:pStyle w:val="BodyTextIndent3"/>
        <w:ind w:firstLine="0"/>
        <w:rPr>
          <w:b/>
          <w:szCs w:val="22"/>
        </w:rPr>
      </w:pP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4F6EAE">
        <w:rPr>
          <w:b/>
          <w:szCs w:val="22"/>
        </w:rPr>
        <w:tab/>
        <w:t>Effective for Financial</w:t>
      </w:r>
    </w:p>
    <w:p w:rsidR="004F6EAE" w:rsidRPr="004F6EAE" w:rsidRDefault="004F6EAE">
      <w:pPr>
        <w:pStyle w:val="BodyTextIndent3"/>
        <w:ind w:firstLine="0"/>
        <w:rPr>
          <w:b/>
          <w:szCs w:val="22"/>
        </w:rPr>
      </w:pPr>
      <w:r w:rsidRPr="004F6EAE">
        <w:rPr>
          <w:b/>
          <w:szCs w:val="22"/>
        </w:rPr>
        <w:tab/>
      </w:r>
      <w:r w:rsidRPr="004F6EAE">
        <w:rPr>
          <w:b/>
          <w:szCs w:val="22"/>
        </w:rPr>
        <w:tab/>
      </w:r>
      <w:r w:rsidRPr="004F6EAE">
        <w:rPr>
          <w:b/>
          <w:szCs w:val="22"/>
        </w:rPr>
        <w:tab/>
      </w:r>
      <w:r w:rsidRPr="004F6EAE">
        <w:rPr>
          <w:b/>
          <w:szCs w:val="22"/>
        </w:rPr>
        <w:tab/>
      </w:r>
      <w:r w:rsidRPr="004F6EAE">
        <w:rPr>
          <w:b/>
          <w:szCs w:val="22"/>
        </w:rPr>
        <w:tab/>
      </w:r>
      <w:r w:rsidRPr="004F6EAE">
        <w:rPr>
          <w:b/>
          <w:szCs w:val="22"/>
        </w:rPr>
        <w:tab/>
      </w:r>
      <w:r w:rsidRPr="004F6EAE">
        <w:rPr>
          <w:b/>
          <w:szCs w:val="22"/>
        </w:rPr>
        <w:tab/>
      </w:r>
      <w:r w:rsidRPr="004F6EAE">
        <w:rPr>
          <w:b/>
          <w:szCs w:val="22"/>
        </w:rPr>
        <w:tab/>
      </w:r>
      <w:r w:rsidRPr="004F6EAE">
        <w:rPr>
          <w:b/>
          <w:szCs w:val="22"/>
        </w:rPr>
        <w:tab/>
        <w:t>periods beginning on</w:t>
      </w:r>
    </w:p>
    <w:p w:rsidR="004F6EAE" w:rsidRPr="004F6EAE" w:rsidRDefault="004F6EAE">
      <w:pPr>
        <w:pStyle w:val="BodyTextIndent3"/>
        <w:ind w:firstLine="0"/>
        <w:rPr>
          <w:b/>
          <w:szCs w:val="22"/>
        </w:rPr>
      </w:pPr>
      <w:r w:rsidRPr="004F6EAE">
        <w:rPr>
          <w:b/>
          <w:szCs w:val="22"/>
        </w:rPr>
        <w:tab/>
      </w:r>
      <w:r w:rsidRPr="004F6EAE">
        <w:rPr>
          <w:b/>
          <w:szCs w:val="22"/>
        </w:rPr>
        <w:tab/>
      </w:r>
      <w:r w:rsidRPr="004F6EAE">
        <w:rPr>
          <w:b/>
          <w:szCs w:val="22"/>
        </w:rPr>
        <w:tab/>
      </w:r>
      <w:r w:rsidRPr="004F6EAE">
        <w:rPr>
          <w:b/>
          <w:szCs w:val="22"/>
        </w:rPr>
        <w:tab/>
      </w:r>
      <w:r w:rsidRPr="004F6EAE">
        <w:rPr>
          <w:b/>
          <w:szCs w:val="22"/>
        </w:rPr>
        <w:tab/>
      </w:r>
      <w:r w:rsidRPr="004F6EAE">
        <w:rPr>
          <w:b/>
          <w:szCs w:val="22"/>
        </w:rPr>
        <w:tab/>
      </w:r>
      <w:r w:rsidRPr="004F6EAE">
        <w:rPr>
          <w:b/>
          <w:szCs w:val="22"/>
        </w:rPr>
        <w:tab/>
      </w:r>
      <w:r w:rsidRPr="004F6EAE">
        <w:rPr>
          <w:b/>
          <w:szCs w:val="22"/>
        </w:rPr>
        <w:tab/>
      </w:r>
      <w:r w:rsidRPr="004F6EAE">
        <w:rPr>
          <w:b/>
          <w:szCs w:val="22"/>
        </w:rPr>
        <w:tab/>
        <w:t>or after</w:t>
      </w:r>
    </w:p>
    <w:p w:rsidR="004F6EAE" w:rsidRPr="004F6EAE" w:rsidRDefault="004F6EAE">
      <w:pPr>
        <w:pStyle w:val="BodyTextIndent3"/>
        <w:ind w:firstLine="0"/>
        <w:rPr>
          <w:b/>
          <w:szCs w:val="22"/>
        </w:rPr>
      </w:pPr>
      <w:r w:rsidRPr="004F6EAE">
        <w:rPr>
          <w:b/>
          <w:szCs w:val="22"/>
        </w:rPr>
        <w:t>New and Revised FRSs and IC Interpretation</w:t>
      </w:r>
    </w:p>
    <w:p w:rsidR="004F6EAE" w:rsidRDefault="004F6EAE">
      <w:pPr>
        <w:pStyle w:val="BodyTextIndent3"/>
        <w:ind w:firstLine="0"/>
        <w:rPr>
          <w:szCs w:val="22"/>
        </w:rPr>
      </w:pPr>
    </w:p>
    <w:p w:rsidR="004F6EAE" w:rsidRDefault="004F6EAE">
      <w:pPr>
        <w:pStyle w:val="BodyTextIndent3"/>
        <w:ind w:firstLine="0"/>
        <w:rPr>
          <w:szCs w:val="22"/>
        </w:rPr>
      </w:pPr>
      <w:r>
        <w:rPr>
          <w:szCs w:val="22"/>
        </w:rPr>
        <w:t>FRS 3</w:t>
      </w:r>
      <w:r>
        <w:rPr>
          <w:szCs w:val="22"/>
        </w:rPr>
        <w:tab/>
      </w:r>
      <w:r>
        <w:rPr>
          <w:szCs w:val="22"/>
        </w:rPr>
        <w:tab/>
        <w:t>Business Combinations (Revised)</w:t>
      </w:r>
      <w:r w:rsidR="00B0578E">
        <w:rPr>
          <w:szCs w:val="22"/>
        </w:rPr>
        <w:tab/>
      </w:r>
      <w:r w:rsidR="00B0578E">
        <w:rPr>
          <w:szCs w:val="22"/>
        </w:rPr>
        <w:tab/>
      </w:r>
      <w:r w:rsidR="00B0578E">
        <w:rPr>
          <w:szCs w:val="22"/>
        </w:rPr>
        <w:tab/>
      </w:r>
      <w:smartTag w:uri="urn:schemas-microsoft-com:office:smarttags" w:element="date">
        <w:smartTagPr>
          <w:attr w:name="Year" w:val="2010"/>
          <w:attr w:name="Day" w:val="1"/>
          <w:attr w:name="Month" w:val="7"/>
        </w:smartTagPr>
        <w:r w:rsidR="00B0578E">
          <w:rPr>
            <w:szCs w:val="22"/>
          </w:rPr>
          <w:t>1 July 2010</w:t>
        </w:r>
      </w:smartTag>
    </w:p>
    <w:p w:rsidR="004F6EAE" w:rsidRDefault="004F6EAE">
      <w:pPr>
        <w:pStyle w:val="BodyTextIndent3"/>
        <w:ind w:firstLine="0"/>
        <w:rPr>
          <w:szCs w:val="22"/>
        </w:rPr>
      </w:pPr>
      <w:r>
        <w:rPr>
          <w:szCs w:val="22"/>
        </w:rPr>
        <w:t>FRS 127</w:t>
      </w:r>
      <w:r>
        <w:rPr>
          <w:szCs w:val="22"/>
        </w:rPr>
        <w:tab/>
        <w:t>Consolidated and Separate Financial</w:t>
      </w:r>
      <w:r w:rsidR="00B0578E">
        <w:rPr>
          <w:szCs w:val="22"/>
        </w:rPr>
        <w:t xml:space="preserve"> Statement</w:t>
      </w:r>
      <w:r w:rsidR="00423A9C">
        <w:rPr>
          <w:szCs w:val="22"/>
        </w:rPr>
        <w:t>s</w:t>
      </w:r>
      <w:r w:rsidR="00B0578E">
        <w:rPr>
          <w:szCs w:val="22"/>
        </w:rPr>
        <w:tab/>
      </w:r>
      <w:r w:rsidR="00B0578E">
        <w:rPr>
          <w:szCs w:val="22"/>
        </w:rPr>
        <w:tab/>
      </w:r>
      <w:smartTag w:uri="urn:schemas-microsoft-com:office:smarttags" w:element="date">
        <w:smartTagPr>
          <w:attr w:name="Year" w:val="2010"/>
          <w:attr w:name="Day" w:val="1"/>
          <w:attr w:name="Month" w:val="7"/>
        </w:smartTagPr>
        <w:r w:rsidR="00B0578E">
          <w:rPr>
            <w:szCs w:val="22"/>
          </w:rPr>
          <w:t>1 July 2010</w:t>
        </w:r>
      </w:smartTag>
      <w:r w:rsidR="00B0578E">
        <w:rPr>
          <w:szCs w:val="22"/>
        </w:rPr>
        <w:t xml:space="preserve"> </w:t>
      </w:r>
    </w:p>
    <w:p w:rsidR="00B0578E" w:rsidRDefault="00B0578E">
      <w:pPr>
        <w:pStyle w:val="BodyTextIndent3"/>
        <w:ind w:firstLine="0"/>
        <w:rPr>
          <w:szCs w:val="22"/>
        </w:rPr>
      </w:pPr>
      <w:r>
        <w:rPr>
          <w:szCs w:val="22"/>
        </w:rPr>
        <w:t xml:space="preserve">             </w:t>
      </w:r>
      <w:r>
        <w:rPr>
          <w:szCs w:val="22"/>
        </w:rPr>
        <w:tab/>
      </w:r>
      <w:r>
        <w:rPr>
          <w:szCs w:val="22"/>
        </w:rPr>
        <w:tab/>
        <w:t>(Revised)</w:t>
      </w:r>
    </w:p>
    <w:p w:rsidR="00B0578E" w:rsidRPr="00B0578E" w:rsidRDefault="00B0578E">
      <w:pPr>
        <w:pStyle w:val="BodyTextIndent3"/>
        <w:ind w:firstLine="0"/>
        <w:rPr>
          <w:b/>
          <w:szCs w:val="22"/>
        </w:rPr>
      </w:pPr>
    </w:p>
    <w:p w:rsidR="00B0578E" w:rsidRPr="00B0578E" w:rsidRDefault="00B0578E">
      <w:pPr>
        <w:pStyle w:val="BodyTextIndent3"/>
        <w:ind w:firstLine="0"/>
        <w:rPr>
          <w:b/>
          <w:szCs w:val="22"/>
        </w:rPr>
      </w:pPr>
      <w:r w:rsidRPr="00B0578E">
        <w:rPr>
          <w:b/>
          <w:szCs w:val="22"/>
        </w:rPr>
        <w:t>Amendments to FRSs, Amendments to IC Interpretation and</w:t>
      </w:r>
    </w:p>
    <w:p w:rsidR="00B0578E" w:rsidRPr="00B0578E" w:rsidRDefault="00B0578E">
      <w:pPr>
        <w:pStyle w:val="BodyTextIndent3"/>
        <w:ind w:firstLine="0"/>
        <w:rPr>
          <w:b/>
          <w:szCs w:val="22"/>
        </w:rPr>
      </w:pPr>
      <w:r>
        <w:rPr>
          <w:b/>
          <w:szCs w:val="22"/>
        </w:rPr>
        <w:t>Im</w:t>
      </w:r>
      <w:r w:rsidRPr="00B0578E">
        <w:rPr>
          <w:b/>
          <w:szCs w:val="22"/>
        </w:rPr>
        <w:t>provements to FRSs</w:t>
      </w:r>
    </w:p>
    <w:p w:rsidR="004F6EAE" w:rsidRDefault="004F6EAE">
      <w:pPr>
        <w:pStyle w:val="BodyTextIndent3"/>
        <w:ind w:firstLine="0"/>
        <w:rPr>
          <w:szCs w:val="22"/>
        </w:rPr>
      </w:pPr>
    </w:p>
    <w:p w:rsidR="00B0578E" w:rsidRDefault="00B0578E">
      <w:pPr>
        <w:pStyle w:val="BodyTextIndent3"/>
        <w:ind w:firstLine="0"/>
        <w:rPr>
          <w:szCs w:val="22"/>
        </w:rPr>
      </w:pPr>
      <w:r>
        <w:rPr>
          <w:szCs w:val="22"/>
        </w:rPr>
        <w:t xml:space="preserve">FRS 7 </w:t>
      </w:r>
      <w:r>
        <w:rPr>
          <w:szCs w:val="22"/>
        </w:rPr>
        <w:tab/>
      </w:r>
      <w:r>
        <w:rPr>
          <w:szCs w:val="22"/>
        </w:rPr>
        <w:tab/>
        <w:t>Financial Instruments:Disclosures</w:t>
      </w:r>
      <w:r>
        <w:rPr>
          <w:szCs w:val="22"/>
        </w:rPr>
        <w:tab/>
      </w:r>
      <w:r>
        <w:rPr>
          <w:szCs w:val="22"/>
        </w:rPr>
        <w:tab/>
      </w:r>
      <w:r>
        <w:rPr>
          <w:szCs w:val="22"/>
        </w:rPr>
        <w:tab/>
      </w:r>
      <w:smartTag w:uri="urn:schemas-microsoft-com:office:smarttags" w:element="date">
        <w:smartTagPr>
          <w:attr w:name="Month" w:val="1"/>
          <w:attr w:name="Day" w:val="1"/>
          <w:attr w:name="Year" w:val="2011"/>
        </w:smartTagPr>
        <w:r>
          <w:rPr>
            <w:szCs w:val="22"/>
          </w:rPr>
          <w:t>1 January 2011</w:t>
        </w:r>
      </w:smartTag>
    </w:p>
    <w:p w:rsidR="00B0578E" w:rsidRDefault="00B0578E">
      <w:pPr>
        <w:pStyle w:val="BodyTextIndent3"/>
        <w:ind w:firstLine="0"/>
        <w:rPr>
          <w:szCs w:val="22"/>
        </w:rPr>
      </w:pPr>
      <w:r>
        <w:rPr>
          <w:szCs w:val="22"/>
        </w:rPr>
        <w:t>Improvement to FRSs (2009)</w:t>
      </w:r>
      <w:r>
        <w:rPr>
          <w:szCs w:val="22"/>
        </w:rPr>
        <w:tab/>
      </w:r>
      <w:r>
        <w:rPr>
          <w:szCs w:val="22"/>
        </w:rPr>
        <w:tab/>
      </w:r>
      <w:r>
        <w:rPr>
          <w:szCs w:val="22"/>
        </w:rPr>
        <w:tab/>
      </w:r>
      <w:r>
        <w:rPr>
          <w:szCs w:val="22"/>
        </w:rPr>
        <w:tab/>
      </w:r>
      <w:r>
        <w:rPr>
          <w:szCs w:val="22"/>
        </w:rPr>
        <w:tab/>
      </w:r>
      <w:r>
        <w:rPr>
          <w:szCs w:val="22"/>
        </w:rPr>
        <w:tab/>
      </w:r>
      <w:smartTag w:uri="urn:schemas-microsoft-com:office:smarttags" w:element="date">
        <w:smartTagPr>
          <w:attr w:name="Year" w:val="2010"/>
          <w:attr w:name="Day" w:val="1"/>
          <w:attr w:name="Month" w:val="7"/>
        </w:smartTagPr>
        <w:r>
          <w:rPr>
            <w:szCs w:val="22"/>
          </w:rPr>
          <w:t>1 July 2010</w:t>
        </w:r>
      </w:smartTag>
    </w:p>
    <w:p w:rsidR="00B0578E" w:rsidRDefault="00B0578E">
      <w:pPr>
        <w:pStyle w:val="BodyTextIndent3"/>
        <w:ind w:firstLine="0"/>
        <w:rPr>
          <w:szCs w:val="22"/>
        </w:rPr>
      </w:pPr>
      <w:r>
        <w:rPr>
          <w:szCs w:val="22"/>
        </w:rPr>
        <w:t>Improvement to FRSs (2010)</w:t>
      </w:r>
      <w:r>
        <w:rPr>
          <w:szCs w:val="22"/>
        </w:rPr>
        <w:tab/>
      </w:r>
      <w:r>
        <w:rPr>
          <w:szCs w:val="22"/>
        </w:rPr>
        <w:tab/>
      </w:r>
      <w:r>
        <w:rPr>
          <w:szCs w:val="22"/>
        </w:rPr>
        <w:tab/>
      </w:r>
      <w:r>
        <w:rPr>
          <w:szCs w:val="22"/>
        </w:rPr>
        <w:tab/>
      </w:r>
      <w:r>
        <w:rPr>
          <w:szCs w:val="22"/>
        </w:rPr>
        <w:tab/>
      </w:r>
      <w:r>
        <w:rPr>
          <w:szCs w:val="22"/>
        </w:rPr>
        <w:tab/>
      </w:r>
      <w:smartTag w:uri="urn:schemas-microsoft-com:office:smarttags" w:element="date">
        <w:smartTagPr>
          <w:attr w:name="Year" w:val="2011"/>
          <w:attr w:name="Day" w:val="1"/>
          <w:attr w:name="Month" w:val="1"/>
        </w:smartTagPr>
        <w:r>
          <w:rPr>
            <w:szCs w:val="22"/>
          </w:rPr>
          <w:t>1 January 2011</w:t>
        </w:r>
      </w:smartTag>
    </w:p>
    <w:p w:rsidR="00B0578E" w:rsidRDefault="00B0578E">
      <w:pPr>
        <w:pStyle w:val="BodyTextIndent3"/>
        <w:ind w:firstLine="0"/>
        <w:rPr>
          <w:szCs w:val="22"/>
        </w:rPr>
      </w:pPr>
    </w:p>
    <w:p w:rsidR="006A1E52" w:rsidRPr="000E1AE5" w:rsidRDefault="006A1E52">
      <w:pPr>
        <w:pStyle w:val="BodyTextIndent3"/>
        <w:ind w:firstLine="0"/>
        <w:rPr>
          <w:i/>
          <w:szCs w:val="22"/>
          <w:u w:val="single"/>
        </w:rPr>
      </w:pPr>
      <w:r w:rsidRPr="000E1AE5">
        <w:rPr>
          <w:i/>
          <w:szCs w:val="22"/>
          <w:u w:val="single"/>
        </w:rPr>
        <w:t>FRS 3 : Business Combinations (Revised)</w:t>
      </w:r>
    </w:p>
    <w:p w:rsidR="006A1E52" w:rsidRDefault="006A1E52">
      <w:pPr>
        <w:pStyle w:val="BodyTextIndent3"/>
        <w:ind w:firstLine="0"/>
        <w:rPr>
          <w:szCs w:val="22"/>
        </w:rPr>
      </w:pPr>
    </w:p>
    <w:p w:rsidR="000E1AE5" w:rsidRDefault="006A1E52" w:rsidP="006A1E52">
      <w:pPr>
        <w:pStyle w:val="BodyTextIndent3"/>
        <w:ind w:firstLine="0"/>
        <w:rPr>
          <w:szCs w:val="22"/>
        </w:rPr>
      </w:pPr>
      <w:r>
        <w:rPr>
          <w:szCs w:val="22"/>
        </w:rPr>
        <w:t xml:space="preserve">This standard introduces a number of changes in the accounting for business combinations occurring after </w:t>
      </w:r>
      <w:smartTag w:uri="urn:schemas-microsoft-com:office:smarttags" w:element="date">
        <w:smartTagPr>
          <w:attr w:name="Year" w:val="2010"/>
          <w:attr w:name="Day" w:val="1"/>
          <w:attr w:name="Month" w:val="7"/>
        </w:smartTagPr>
        <w:r>
          <w:rPr>
            <w:szCs w:val="22"/>
          </w:rPr>
          <w:t>1 July 2010</w:t>
        </w:r>
      </w:smartTag>
      <w:r>
        <w:rPr>
          <w:szCs w:val="22"/>
        </w:rPr>
        <w:t>. These include changes that affect the valuation of non-controlling interest, the accounting for transaction costs, the initial recognition and subsequent measurement of a contingent consideration and business combinations achieved in stages. Th</w:t>
      </w:r>
      <w:r w:rsidR="00D8268A">
        <w:rPr>
          <w:szCs w:val="22"/>
        </w:rPr>
        <w:t xml:space="preserve">ese changes will impact </w:t>
      </w:r>
      <w:r w:rsidR="000E1AE5">
        <w:rPr>
          <w:szCs w:val="22"/>
        </w:rPr>
        <w:t>the amount of goodwill recognized, the reported results in the period that an acquisition occurs and future reported results.</w:t>
      </w:r>
    </w:p>
    <w:p w:rsidR="000E1AE5" w:rsidRDefault="000E1AE5" w:rsidP="006A1E52">
      <w:pPr>
        <w:pStyle w:val="BodyTextIndent3"/>
        <w:ind w:firstLine="0"/>
        <w:rPr>
          <w:szCs w:val="22"/>
        </w:rPr>
      </w:pPr>
    </w:p>
    <w:p w:rsidR="000E1AE5" w:rsidRDefault="000E1AE5" w:rsidP="006A1E52">
      <w:pPr>
        <w:pStyle w:val="BodyTextIndent3"/>
        <w:ind w:firstLine="0"/>
        <w:rPr>
          <w:szCs w:val="22"/>
        </w:rPr>
      </w:pPr>
      <w:r>
        <w:rPr>
          <w:szCs w:val="22"/>
        </w:rPr>
        <w:t>The Group and the company will adopt this standard prospectively. The standard is expected to have impact on the Group and the Company’s financial statements upon its initial application in respect of :-</w:t>
      </w:r>
    </w:p>
    <w:p w:rsidR="000E1AE5" w:rsidRDefault="000E1AE5" w:rsidP="006A1E52">
      <w:pPr>
        <w:pStyle w:val="BodyTextIndent3"/>
        <w:ind w:firstLine="0"/>
        <w:rPr>
          <w:szCs w:val="22"/>
        </w:rPr>
      </w:pPr>
    </w:p>
    <w:p w:rsidR="000E1AE5" w:rsidRDefault="001D5216" w:rsidP="000E1AE5">
      <w:pPr>
        <w:pStyle w:val="BodyTextIndent3"/>
        <w:numPr>
          <w:ilvl w:val="0"/>
          <w:numId w:val="16"/>
        </w:numPr>
        <w:rPr>
          <w:szCs w:val="22"/>
        </w:rPr>
      </w:pPr>
      <w:r>
        <w:rPr>
          <w:szCs w:val="22"/>
        </w:rPr>
        <w:t>F</w:t>
      </w:r>
      <w:r w:rsidR="000E1AE5">
        <w:rPr>
          <w:szCs w:val="22"/>
        </w:rPr>
        <w:t>uture acquisition of subsidiary ; and</w:t>
      </w:r>
    </w:p>
    <w:p w:rsidR="006A1E52" w:rsidRDefault="001D5216" w:rsidP="000E1AE5">
      <w:pPr>
        <w:pStyle w:val="BodyTextIndent3"/>
        <w:numPr>
          <w:ilvl w:val="0"/>
          <w:numId w:val="16"/>
        </w:numPr>
        <w:rPr>
          <w:szCs w:val="22"/>
        </w:rPr>
      </w:pPr>
      <w:r>
        <w:rPr>
          <w:szCs w:val="22"/>
        </w:rPr>
        <w:t>F</w:t>
      </w:r>
      <w:r w:rsidR="000E1AE5">
        <w:rPr>
          <w:szCs w:val="22"/>
        </w:rPr>
        <w:t>uture acquisition of a business arising from a transaction or other event that meets the definition of a business combination.</w:t>
      </w:r>
      <w:r w:rsidR="006A1E52">
        <w:rPr>
          <w:szCs w:val="22"/>
        </w:rPr>
        <w:t xml:space="preserve"> </w:t>
      </w:r>
    </w:p>
    <w:p w:rsidR="000E1AE5" w:rsidRDefault="000E1AE5" w:rsidP="000E1AE5">
      <w:pPr>
        <w:pStyle w:val="BodyTextIndent3"/>
        <w:ind w:left="1440"/>
        <w:rPr>
          <w:szCs w:val="22"/>
        </w:rPr>
      </w:pPr>
    </w:p>
    <w:p w:rsidR="000E1AE5" w:rsidRPr="000E1AE5" w:rsidRDefault="000E1AE5" w:rsidP="000E1AE5">
      <w:pPr>
        <w:pStyle w:val="BodyTextIndent3"/>
        <w:ind w:left="1440"/>
        <w:rPr>
          <w:i/>
          <w:szCs w:val="22"/>
          <w:u w:val="single"/>
        </w:rPr>
      </w:pPr>
      <w:r w:rsidRPr="000E1AE5">
        <w:rPr>
          <w:i/>
          <w:szCs w:val="22"/>
          <w:u w:val="single"/>
        </w:rPr>
        <w:t>FRS 127 : Consolidated and Separate Financial Statements (Revised)</w:t>
      </w:r>
    </w:p>
    <w:p w:rsidR="006A1E52" w:rsidRDefault="006A1E52">
      <w:pPr>
        <w:pStyle w:val="BodyTextIndent3"/>
        <w:ind w:firstLine="0"/>
        <w:rPr>
          <w:szCs w:val="22"/>
        </w:rPr>
      </w:pPr>
    </w:p>
    <w:p w:rsidR="000E1AE5" w:rsidRDefault="000E1AE5">
      <w:pPr>
        <w:pStyle w:val="BodyTextIndent3"/>
        <w:ind w:firstLine="0"/>
        <w:rPr>
          <w:szCs w:val="22"/>
        </w:rPr>
      </w:pPr>
      <w:r>
        <w:rPr>
          <w:szCs w:val="22"/>
        </w:rPr>
        <w:t>This standard requires that a change in the ownership of a subsidiary, without loss of control, is being accounted for as a transaction with owners in their capacity as owners and to be recorded in equity. Therefore, such transaction will no longer give rise to goodwill, nor will it give rise to a gain or loss. Moreover, the amended standard changes the accounting for losses incurred by the subsidiary as well as loss of control of a subsidiary.</w:t>
      </w:r>
    </w:p>
    <w:p w:rsidR="000E1AE5" w:rsidRDefault="000E1AE5">
      <w:pPr>
        <w:pStyle w:val="BodyTextIndent3"/>
        <w:ind w:firstLine="0"/>
        <w:rPr>
          <w:szCs w:val="22"/>
        </w:rPr>
      </w:pPr>
    </w:p>
    <w:p w:rsidR="000E1AE5" w:rsidRDefault="000E1AE5">
      <w:pPr>
        <w:pStyle w:val="BodyTextIndent3"/>
        <w:ind w:firstLine="0"/>
        <w:rPr>
          <w:szCs w:val="22"/>
        </w:rPr>
      </w:pPr>
      <w:r>
        <w:rPr>
          <w:szCs w:val="22"/>
        </w:rPr>
        <w:t>The Group will adopt this standard prospectively. The standard is expected to have impact on the Group’s financial statements upon its initial application in respect of :-</w:t>
      </w:r>
    </w:p>
    <w:p w:rsidR="000E1AE5" w:rsidRDefault="000E1AE5">
      <w:pPr>
        <w:pStyle w:val="BodyTextIndent3"/>
        <w:ind w:firstLine="0"/>
        <w:rPr>
          <w:szCs w:val="22"/>
        </w:rPr>
      </w:pPr>
    </w:p>
    <w:p w:rsidR="000E1AE5" w:rsidRDefault="000E1AE5" w:rsidP="000E1AE5">
      <w:pPr>
        <w:pStyle w:val="BodyTextIndent3"/>
        <w:numPr>
          <w:ilvl w:val="0"/>
          <w:numId w:val="16"/>
        </w:numPr>
        <w:rPr>
          <w:szCs w:val="22"/>
        </w:rPr>
      </w:pPr>
      <w:r>
        <w:rPr>
          <w:szCs w:val="22"/>
        </w:rPr>
        <w:t>Loss of control of subsidiary ; and</w:t>
      </w:r>
    </w:p>
    <w:p w:rsidR="000E1AE5" w:rsidRDefault="000E1AE5" w:rsidP="000E1AE5">
      <w:pPr>
        <w:pStyle w:val="BodyTextIndent3"/>
        <w:numPr>
          <w:ilvl w:val="0"/>
          <w:numId w:val="16"/>
        </w:numPr>
        <w:rPr>
          <w:szCs w:val="22"/>
        </w:rPr>
      </w:pPr>
      <w:r>
        <w:rPr>
          <w:szCs w:val="22"/>
        </w:rPr>
        <w:t>Transactions with non-controlling interests.</w:t>
      </w:r>
    </w:p>
    <w:p w:rsidR="00E2357F" w:rsidRDefault="00E2357F" w:rsidP="003E3727">
      <w:pPr>
        <w:pStyle w:val="BodyTextIndent3"/>
        <w:ind w:firstLine="0"/>
        <w:rPr>
          <w:bCs/>
          <w:szCs w:val="22"/>
        </w:rPr>
      </w:pPr>
    </w:p>
    <w:p w:rsidR="00673274" w:rsidRPr="006D47DC" w:rsidRDefault="003E3727" w:rsidP="003E3727">
      <w:pPr>
        <w:pStyle w:val="BodyTextIndent3"/>
        <w:ind w:firstLine="0"/>
        <w:rPr>
          <w:bCs/>
          <w:szCs w:val="22"/>
        </w:rPr>
      </w:pPr>
      <w:r>
        <w:rPr>
          <w:bCs/>
          <w:szCs w:val="22"/>
        </w:rPr>
        <w:t xml:space="preserve">  </w:t>
      </w:r>
      <w:r w:rsidR="00673274">
        <w:rPr>
          <w:bCs/>
          <w:szCs w:val="22"/>
        </w:rPr>
        <w:t xml:space="preserve">     </w:t>
      </w:r>
    </w:p>
    <w:p w:rsidR="00143AF2" w:rsidRDefault="001D5216">
      <w:pPr>
        <w:pStyle w:val="BodyTextIndent3"/>
        <w:rPr>
          <w:b/>
          <w:szCs w:val="22"/>
        </w:rPr>
      </w:pPr>
      <w:r>
        <w:rPr>
          <w:b/>
          <w:szCs w:val="22"/>
        </w:rPr>
        <w:t>A2</w:t>
      </w:r>
      <w:r w:rsidR="00143AF2">
        <w:rPr>
          <w:b/>
          <w:szCs w:val="22"/>
        </w:rPr>
        <w:t>.</w:t>
      </w:r>
      <w:r w:rsidR="00143AF2">
        <w:rPr>
          <w:b/>
          <w:szCs w:val="22"/>
        </w:rPr>
        <w:tab/>
        <w:t>Declaration of Audit Qualification</w:t>
      </w:r>
    </w:p>
    <w:p w:rsidR="00143AF2" w:rsidRDefault="00143AF2">
      <w:pPr>
        <w:pStyle w:val="BodyTextIndent3"/>
        <w:ind w:firstLine="0"/>
        <w:rPr>
          <w:szCs w:val="22"/>
        </w:rPr>
      </w:pPr>
    </w:p>
    <w:p w:rsidR="00143AF2" w:rsidRDefault="00143AF2">
      <w:pPr>
        <w:pStyle w:val="BodyTextIndent3"/>
        <w:ind w:firstLine="0"/>
        <w:rPr>
          <w:szCs w:val="22"/>
        </w:rPr>
      </w:pPr>
      <w:r>
        <w:rPr>
          <w:szCs w:val="22"/>
        </w:rPr>
        <w:t xml:space="preserve">The auditors of the respective companies within the Group did not qualify their reports. </w:t>
      </w:r>
    </w:p>
    <w:p w:rsidR="00143AF2" w:rsidRDefault="00143AF2">
      <w:pPr>
        <w:pStyle w:val="BodyTextIndent3"/>
        <w:ind w:firstLine="0"/>
        <w:rPr>
          <w:szCs w:val="22"/>
        </w:rPr>
      </w:pPr>
    </w:p>
    <w:p w:rsidR="00E2357F" w:rsidRDefault="00E2357F">
      <w:pPr>
        <w:pStyle w:val="BodyTextIndent3"/>
        <w:ind w:firstLine="0"/>
        <w:rPr>
          <w:szCs w:val="22"/>
        </w:rPr>
      </w:pPr>
    </w:p>
    <w:p w:rsidR="00143AF2" w:rsidRDefault="001D5216">
      <w:pPr>
        <w:pStyle w:val="BodyTextIndent2"/>
        <w:ind w:hanging="720"/>
      </w:pPr>
      <w:r>
        <w:rPr>
          <w:b/>
        </w:rPr>
        <w:t>A3</w:t>
      </w:r>
      <w:r w:rsidR="00143AF2">
        <w:rPr>
          <w:b/>
        </w:rPr>
        <w:t>.</w:t>
      </w:r>
      <w:r w:rsidR="00143AF2">
        <w:rPr>
          <w:b/>
        </w:rPr>
        <w:tab/>
        <w:t>Seasonal or Cyclical Factors</w:t>
      </w:r>
    </w:p>
    <w:p w:rsidR="00143AF2" w:rsidRDefault="00143AF2">
      <w:pPr>
        <w:pStyle w:val="BodyTextIndent2"/>
      </w:pPr>
    </w:p>
    <w:p w:rsidR="00143AF2" w:rsidRDefault="00143AF2" w:rsidP="009E3E10">
      <w:pPr>
        <w:pStyle w:val="BodyTextIndent2"/>
      </w:pPr>
      <w:r>
        <w:t>The performance and the business operations within the Group were not significantly affected by any material seasonal or cyclical factors for th</w:t>
      </w:r>
      <w:r w:rsidR="00F47684">
        <w:t>e fin</w:t>
      </w:r>
      <w:r w:rsidR="007C2F50">
        <w:t>a</w:t>
      </w:r>
      <w:r w:rsidR="00E5086A">
        <w:t>ncial period ended 31 March</w:t>
      </w:r>
      <w:r w:rsidR="00064224">
        <w:t xml:space="preserve"> 20</w:t>
      </w:r>
      <w:r w:rsidR="00E5086A">
        <w:t>13</w:t>
      </w:r>
      <w:r>
        <w:t>.</w:t>
      </w:r>
    </w:p>
    <w:p w:rsidR="00325CFF" w:rsidRDefault="00325CFF">
      <w:pPr>
        <w:pStyle w:val="BodyTextIndent"/>
      </w:pPr>
    </w:p>
    <w:p w:rsidR="00E2357F" w:rsidRDefault="00E2357F">
      <w:pPr>
        <w:pStyle w:val="BodyTextIndent"/>
      </w:pPr>
    </w:p>
    <w:p w:rsidR="00143AF2" w:rsidRDefault="001D5216">
      <w:pPr>
        <w:pStyle w:val="BodyTextIndent"/>
      </w:pPr>
      <w:r>
        <w:t>A4</w:t>
      </w:r>
      <w:r w:rsidR="00143AF2">
        <w:t>.</w:t>
      </w:r>
      <w:r w:rsidR="00143AF2">
        <w:tab/>
        <w:t>Nature and Amount of Items Affecting Assets, Liabilities, Equity, Net Income or Cash Flows that are unusual because of their Nature, Size or Incidence</w:t>
      </w:r>
    </w:p>
    <w:p w:rsidR="00143AF2" w:rsidRDefault="00143AF2">
      <w:pPr>
        <w:ind w:left="720"/>
        <w:jc w:val="both"/>
        <w:rPr>
          <w:snapToGrid w:val="0"/>
          <w:color w:val="000000"/>
          <w:sz w:val="22"/>
          <w:szCs w:val="22"/>
        </w:rPr>
      </w:pPr>
    </w:p>
    <w:p w:rsidR="00143AF2" w:rsidRDefault="00143AF2" w:rsidP="00485D78">
      <w:pPr>
        <w:ind w:left="720"/>
        <w:jc w:val="both"/>
        <w:rPr>
          <w:snapToGrid w:val="0"/>
          <w:color w:val="000000"/>
          <w:sz w:val="22"/>
          <w:szCs w:val="22"/>
        </w:rPr>
      </w:pPr>
      <w:r>
        <w:rPr>
          <w:snapToGrid w:val="0"/>
          <w:color w:val="000000"/>
          <w:sz w:val="22"/>
          <w:szCs w:val="22"/>
        </w:rPr>
        <w:t>There were no unusual items affecting the Group for th</w:t>
      </w:r>
      <w:r w:rsidR="00F47684">
        <w:rPr>
          <w:snapToGrid w:val="0"/>
          <w:color w:val="000000"/>
          <w:sz w:val="22"/>
          <w:szCs w:val="22"/>
        </w:rPr>
        <w:t>e fin</w:t>
      </w:r>
      <w:r w:rsidR="00E5086A">
        <w:rPr>
          <w:snapToGrid w:val="0"/>
          <w:color w:val="000000"/>
          <w:sz w:val="22"/>
          <w:szCs w:val="22"/>
        </w:rPr>
        <w:t>ancial period ended 31 March 2013</w:t>
      </w:r>
      <w:r>
        <w:rPr>
          <w:snapToGrid w:val="0"/>
          <w:color w:val="000000"/>
          <w:sz w:val="22"/>
          <w:szCs w:val="22"/>
        </w:rPr>
        <w:t>.</w:t>
      </w:r>
    </w:p>
    <w:p w:rsidR="00143AF2" w:rsidRDefault="00143AF2">
      <w:pPr>
        <w:ind w:left="720"/>
        <w:jc w:val="both"/>
        <w:rPr>
          <w:snapToGrid w:val="0"/>
          <w:color w:val="000000"/>
          <w:sz w:val="22"/>
          <w:szCs w:val="22"/>
        </w:rPr>
      </w:pPr>
    </w:p>
    <w:p w:rsidR="00325CFF" w:rsidRDefault="00325CFF">
      <w:pPr>
        <w:ind w:left="720" w:hanging="720"/>
        <w:jc w:val="both"/>
        <w:rPr>
          <w:b/>
          <w:snapToGrid w:val="0"/>
          <w:color w:val="000000"/>
          <w:sz w:val="22"/>
          <w:szCs w:val="22"/>
        </w:rPr>
      </w:pPr>
    </w:p>
    <w:p w:rsidR="00143AF2" w:rsidRDefault="001D5216">
      <w:pPr>
        <w:ind w:left="720" w:hanging="720"/>
        <w:jc w:val="both"/>
        <w:rPr>
          <w:b/>
          <w:snapToGrid w:val="0"/>
          <w:color w:val="000000"/>
          <w:sz w:val="22"/>
          <w:szCs w:val="22"/>
        </w:rPr>
      </w:pPr>
      <w:r>
        <w:rPr>
          <w:b/>
          <w:snapToGrid w:val="0"/>
          <w:color w:val="000000"/>
          <w:sz w:val="22"/>
          <w:szCs w:val="22"/>
        </w:rPr>
        <w:t>A5</w:t>
      </w:r>
      <w:r w:rsidR="00143AF2">
        <w:rPr>
          <w:b/>
          <w:snapToGrid w:val="0"/>
          <w:color w:val="000000"/>
          <w:sz w:val="22"/>
          <w:szCs w:val="22"/>
        </w:rPr>
        <w:t>.</w:t>
      </w:r>
      <w:r w:rsidR="00143AF2">
        <w:rPr>
          <w:b/>
          <w:snapToGrid w:val="0"/>
          <w:color w:val="000000"/>
          <w:sz w:val="22"/>
          <w:szCs w:val="22"/>
        </w:rPr>
        <w:tab/>
        <w:t>Nature and Amount of Changes in estimates reported in prior Interim Periods of the current Financial Year or prior Financial Year which may have a material effect in the current Interim Period</w:t>
      </w:r>
    </w:p>
    <w:p w:rsidR="00143AF2" w:rsidRDefault="00143AF2">
      <w:pPr>
        <w:ind w:left="720"/>
        <w:jc w:val="both"/>
        <w:rPr>
          <w:snapToGrid w:val="0"/>
          <w:color w:val="000000"/>
          <w:sz w:val="22"/>
          <w:szCs w:val="22"/>
        </w:rPr>
      </w:pPr>
    </w:p>
    <w:p w:rsidR="00143AF2" w:rsidRDefault="00143AF2" w:rsidP="004175C5">
      <w:pPr>
        <w:ind w:left="720"/>
        <w:jc w:val="both"/>
        <w:rPr>
          <w:snapToGrid w:val="0"/>
          <w:color w:val="000000"/>
          <w:sz w:val="22"/>
          <w:szCs w:val="22"/>
        </w:rPr>
      </w:pPr>
      <w:r>
        <w:rPr>
          <w:snapToGrid w:val="0"/>
          <w:color w:val="000000"/>
          <w:sz w:val="22"/>
          <w:szCs w:val="22"/>
        </w:rPr>
        <w:t>There were no material changes in the estimates for th</w:t>
      </w:r>
      <w:r w:rsidR="00F47684">
        <w:rPr>
          <w:snapToGrid w:val="0"/>
          <w:color w:val="000000"/>
          <w:sz w:val="22"/>
          <w:szCs w:val="22"/>
        </w:rPr>
        <w:t>e fin</w:t>
      </w:r>
      <w:r w:rsidR="00BF4619">
        <w:rPr>
          <w:snapToGrid w:val="0"/>
          <w:color w:val="000000"/>
          <w:sz w:val="22"/>
          <w:szCs w:val="22"/>
        </w:rPr>
        <w:t>ancial period ended 3</w:t>
      </w:r>
      <w:r w:rsidR="00E5086A">
        <w:rPr>
          <w:snapToGrid w:val="0"/>
          <w:color w:val="000000"/>
          <w:sz w:val="22"/>
          <w:szCs w:val="22"/>
        </w:rPr>
        <w:t>1 March 2013</w:t>
      </w:r>
      <w:r>
        <w:rPr>
          <w:snapToGrid w:val="0"/>
          <w:color w:val="000000"/>
          <w:sz w:val="22"/>
          <w:szCs w:val="22"/>
        </w:rPr>
        <w:t xml:space="preserve">. </w:t>
      </w:r>
    </w:p>
    <w:p w:rsidR="00143AF2" w:rsidRDefault="00143AF2">
      <w:pPr>
        <w:ind w:left="720"/>
        <w:jc w:val="both"/>
        <w:rPr>
          <w:snapToGrid w:val="0"/>
          <w:color w:val="000000"/>
          <w:sz w:val="22"/>
          <w:szCs w:val="22"/>
        </w:rPr>
      </w:pPr>
    </w:p>
    <w:p w:rsidR="00325CFF" w:rsidRDefault="00325CFF">
      <w:pPr>
        <w:ind w:left="720" w:hanging="720"/>
        <w:jc w:val="both"/>
        <w:rPr>
          <w:b/>
          <w:snapToGrid w:val="0"/>
          <w:color w:val="000000"/>
          <w:sz w:val="22"/>
          <w:szCs w:val="22"/>
        </w:rPr>
      </w:pPr>
    </w:p>
    <w:p w:rsidR="00143AF2" w:rsidRDefault="001D5216">
      <w:pPr>
        <w:ind w:left="720" w:hanging="720"/>
        <w:jc w:val="both"/>
        <w:rPr>
          <w:b/>
          <w:snapToGrid w:val="0"/>
          <w:color w:val="000000"/>
          <w:sz w:val="22"/>
          <w:szCs w:val="22"/>
        </w:rPr>
      </w:pPr>
      <w:r>
        <w:rPr>
          <w:b/>
          <w:snapToGrid w:val="0"/>
          <w:color w:val="000000"/>
          <w:sz w:val="22"/>
          <w:szCs w:val="22"/>
        </w:rPr>
        <w:t>A6</w:t>
      </w:r>
      <w:r w:rsidR="00143AF2">
        <w:rPr>
          <w:b/>
          <w:snapToGrid w:val="0"/>
          <w:color w:val="000000"/>
          <w:sz w:val="22"/>
          <w:szCs w:val="22"/>
        </w:rPr>
        <w:t>.</w:t>
      </w:r>
      <w:r w:rsidR="00143AF2">
        <w:rPr>
          <w:b/>
          <w:snapToGrid w:val="0"/>
          <w:color w:val="000000"/>
          <w:sz w:val="22"/>
          <w:szCs w:val="22"/>
        </w:rPr>
        <w:tab/>
        <w:t>Issuance, Cancellation, Repurchases, Resale and Repayments of Debt and Equity Securities</w:t>
      </w:r>
    </w:p>
    <w:p w:rsidR="00143AF2" w:rsidRDefault="00143AF2">
      <w:pPr>
        <w:ind w:left="720"/>
        <w:jc w:val="both"/>
        <w:rPr>
          <w:snapToGrid w:val="0"/>
          <w:color w:val="000000"/>
          <w:sz w:val="22"/>
          <w:szCs w:val="22"/>
        </w:rPr>
      </w:pPr>
    </w:p>
    <w:p w:rsidR="008E0B4B" w:rsidRDefault="008E0B4B" w:rsidP="008E0B4B">
      <w:pPr>
        <w:ind w:left="720"/>
        <w:jc w:val="both"/>
        <w:rPr>
          <w:snapToGrid w:val="0"/>
          <w:color w:val="000000"/>
          <w:sz w:val="22"/>
          <w:szCs w:val="22"/>
        </w:rPr>
      </w:pPr>
      <w:r>
        <w:rPr>
          <w:snapToGrid w:val="0"/>
          <w:color w:val="000000"/>
          <w:sz w:val="22"/>
          <w:szCs w:val="22"/>
        </w:rPr>
        <w:t>There were no other issuance of shares, no cancellations, repurchases, resale and repayments of debt or equity securities for the financi</w:t>
      </w:r>
      <w:r w:rsidR="00E5086A">
        <w:rPr>
          <w:snapToGrid w:val="0"/>
          <w:color w:val="000000"/>
          <w:sz w:val="22"/>
          <w:szCs w:val="22"/>
        </w:rPr>
        <w:t>al period ended 31 March 2013</w:t>
      </w:r>
      <w:r>
        <w:rPr>
          <w:snapToGrid w:val="0"/>
          <w:color w:val="000000"/>
          <w:sz w:val="22"/>
          <w:szCs w:val="22"/>
        </w:rPr>
        <w:t xml:space="preserve"> to date.</w:t>
      </w:r>
    </w:p>
    <w:p w:rsidR="00D8268A" w:rsidRDefault="00D8268A">
      <w:pPr>
        <w:jc w:val="both"/>
        <w:rPr>
          <w:b/>
          <w:sz w:val="22"/>
        </w:rPr>
      </w:pPr>
    </w:p>
    <w:p w:rsidR="00E2357F" w:rsidRDefault="00E2357F">
      <w:pPr>
        <w:jc w:val="both"/>
        <w:rPr>
          <w:b/>
          <w:sz w:val="22"/>
        </w:rPr>
      </w:pPr>
    </w:p>
    <w:p w:rsidR="00143AF2" w:rsidRDefault="001D5216">
      <w:pPr>
        <w:jc w:val="both"/>
        <w:rPr>
          <w:b/>
          <w:sz w:val="22"/>
        </w:rPr>
      </w:pPr>
      <w:r>
        <w:rPr>
          <w:b/>
          <w:sz w:val="22"/>
        </w:rPr>
        <w:t>A7</w:t>
      </w:r>
      <w:r w:rsidR="00143AF2">
        <w:rPr>
          <w:b/>
          <w:sz w:val="22"/>
        </w:rPr>
        <w:t>.</w:t>
      </w:r>
      <w:r w:rsidR="00143AF2">
        <w:rPr>
          <w:b/>
          <w:sz w:val="22"/>
        </w:rPr>
        <w:tab/>
        <w:t xml:space="preserve">Dividend Paid </w:t>
      </w:r>
    </w:p>
    <w:p w:rsidR="00143AF2" w:rsidRDefault="00143AF2">
      <w:pPr>
        <w:ind w:left="720"/>
        <w:jc w:val="both"/>
        <w:rPr>
          <w:sz w:val="22"/>
        </w:rPr>
      </w:pPr>
    </w:p>
    <w:p w:rsidR="00143AF2" w:rsidRDefault="00143AF2" w:rsidP="00485D78">
      <w:pPr>
        <w:ind w:left="720"/>
        <w:jc w:val="both"/>
        <w:rPr>
          <w:sz w:val="22"/>
        </w:rPr>
      </w:pPr>
      <w:r>
        <w:rPr>
          <w:sz w:val="22"/>
        </w:rPr>
        <w:t>No interim dividend was paid by the Company for th</w:t>
      </w:r>
      <w:r w:rsidR="00F47684">
        <w:rPr>
          <w:sz w:val="22"/>
        </w:rPr>
        <w:t>e fin</w:t>
      </w:r>
      <w:r w:rsidR="009E3E10">
        <w:rPr>
          <w:sz w:val="22"/>
        </w:rPr>
        <w:t>ancial period ended</w:t>
      </w:r>
      <w:r w:rsidR="001E4F26">
        <w:rPr>
          <w:sz w:val="22"/>
        </w:rPr>
        <w:t xml:space="preserve"> 3</w:t>
      </w:r>
      <w:r w:rsidR="00E5086A">
        <w:rPr>
          <w:sz w:val="22"/>
        </w:rPr>
        <w:t>1 March 2013</w:t>
      </w:r>
      <w:r>
        <w:rPr>
          <w:sz w:val="22"/>
        </w:rPr>
        <w:t xml:space="preserve"> under review. </w:t>
      </w:r>
    </w:p>
    <w:p w:rsidR="00143AF2" w:rsidRDefault="00143AF2">
      <w:pPr>
        <w:ind w:left="720"/>
        <w:jc w:val="both"/>
        <w:rPr>
          <w:snapToGrid w:val="0"/>
          <w:color w:val="000000"/>
          <w:sz w:val="22"/>
          <w:szCs w:val="22"/>
        </w:rPr>
      </w:pPr>
    </w:p>
    <w:p w:rsidR="00143AF2" w:rsidRDefault="001D5216">
      <w:pPr>
        <w:pStyle w:val="Heading9"/>
        <w:numPr>
          <w:ilvl w:val="0"/>
          <w:numId w:val="0"/>
        </w:numPr>
      </w:pPr>
      <w:r>
        <w:t>A8</w:t>
      </w:r>
      <w:r w:rsidR="00143AF2">
        <w:t>.</w:t>
      </w:r>
      <w:r w:rsidR="00143AF2">
        <w:tab/>
        <w:t xml:space="preserve">Segmental Reporting </w:t>
      </w:r>
    </w:p>
    <w:p w:rsidR="00143AF2" w:rsidRDefault="00143AF2">
      <w:pPr>
        <w:ind w:left="720"/>
        <w:jc w:val="both"/>
        <w:rPr>
          <w:sz w:val="22"/>
          <w:szCs w:val="22"/>
        </w:rPr>
      </w:pPr>
      <w:r>
        <w:rPr>
          <w:sz w:val="22"/>
          <w:szCs w:val="22"/>
        </w:rPr>
        <w:t xml:space="preserve">No geographical segmental analysis is presented as the Group operates principally within </w:t>
      </w:r>
      <w:r w:rsidR="008E0B4B">
        <w:rPr>
          <w:sz w:val="22"/>
          <w:szCs w:val="22"/>
        </w:rPr>
        <w:t xml:space="preserve">one industry wholly in </w:t>
      </w:r>
      <w:r>
        <w:rPr>
          <w:sz w:val="22"/>
          <w:szCs w:val="22"/>
        </w:rPr>
        <w:t>Malaysia.</w:t>
      </w:r>
    </w:p>
    <w:p w:rsidR="00B55F68" w:rsidRDefault="00B55F68">
      <w:pPr>
        <w:ind w:left="720"/>
        <w:jc w:val="both"/>
        <w:rPr>
          <w:sz w:val="22"/>
          <w:szCs w:val="22"/>
        </w:rPr>
      </w:pPr>
    </w:p>
    <w:p w:rsidR="00143AF2" w:rsidRPr="00B33AB3" w:rsidRDefault="001D5216">
      <w:pPr>
        <w:jc w:val="both"/>
        <w:rPr>
          <w:b/>
          <w:sz w:val="22"/>
          <w:szCs w:val="22"/>
        </w:rPr>
      </w:pPr>
      <w:r>
        <w:rPr>
          <w:b/>
          <w:sz w:val="22"/>
          <w:szCs w:val="22"/>
        </w:rPr>
        <w:t>A9</w:t>
      </w:r>
      <w:r w:rsidR="00143AF2" w:rsidRPr="00B33AB3">
        <w:rPr>
          <w:b/>
          <w:sz w:val="22"/>
          <w:szCs w:val="22"/>
        </w:rPr>
        <w:t>.</w:t>
      </w:r>
      <w:r w:rsidR="00143AF2" w:rsidRPr="00B33AB3">
        <w:rPr>
          <w:b/>
          <w:sz w:val="22"/>
          <w:szCs w:val="22"/>
        </w:rPr>
        <w:tab/>
        <w:t>Valuation of Property, Plant and Equipment</w:t>
      </w:r>
    </w:p>
    <w:p w:rsidR="00143AF2" w:rsidRPr="00B33AB3" w:rsidRDefault="00143AF2">
      <w:pPr>
        <w:ind w:left="720"/>
        <w:jc w:val="both"/>
        <w:rPr>
          <w:sz w:val="22"/>
        </w:rPr>
      </w:pPr>
    </w:p>
    <w:p w:rsidR="00143AF2" w:rsidRDefault="00B87C84" w:rsidP="00B87C84">
      <w:pPr>
        <w:ind w:left="720"/>
        <w:jc w:val="both"/>
        <w:rPr>
          <w:sz w:val="22"/>
        </w:rPr>
      </w:pPr>
      <w:r>
        <w:rPr>
          <w:sz w:val="22"/>
        </w:rPr>
        <w:t>The valuation of property and assets of the Group have been brought forward without amendments from the previous annual financial st</w:t>
      </w:r>
      <w:r w:rsidR="001F13EE">
        <w:rPr>
          <w:sz w:val="22"/>
        </w:rPr>
        <w:t xml:space="preserve">atements </w:t>
      </w:r>
      <w:r w:rsidR="005F1F97">
        <w:rPr>
          <w:sz w:val="22"/>
        </w:rPr>
        <w:t>f</w:t>
      </w:r>
      <w:r w:rsidR="00E5086A">
        <w:rPr>
          <w:sz w:val="22"/>
        </w:rPr>
        <w:t>or the period ended 31 March 2013</w:t>
      </w:r>
      <w:r>
        <w:rPr>
          <w:sz w:val="22"/>
        </w:rPr>
        <w:t>.</w:t>
      </w:r>
    </w:p>
    <w:p w:rsidR="00EF07B3" w:rsidRDefault="00EF07B3">
      <w:pPr>
        <w:jc w:val="both"/>
        <w:rPr>
          <w:b/>
          <w:sz w:val="22"/>
        </w:rPr>
      </w:pPr>
    </w:p>
    <w:p w:rsidR="001C04B0" w:rsidRDefault="001C04B0">
      <w:pPr>
        <w:jc w:val="both"/>
        <w:rPr>
          <w:b/>
          <w:sz w:val="22"/>
        </w:rPr>
      </w:pPr>
    </w:p>
    <w:p w:rsidR="00143AF2" w:rsidRDefault="001D5216">
      <w:pPr>
        <w:jc w:val="both"/>
        <w:rPr>
          <w:sz w:val="22"/>
        </w:rPr>
      </w:pPr>
      <w:r>
        <w:rPr>
          <w:b/>
          <w:sz w:val="22"/>
        </w:rPr>
        <w:t>A10</w:t>
      </w:r>
      <w:r w:rsidR="00143AF2">
        <w:rPr>
          <w:b/>
          <w:sz w:val="22"/>
        </w:rPr>
        <w:t>.</w:t>
      </w:r>
      <w:r w:rsidR="00143AF2">
        <w:rPr>
          <w:b/>
          <w:sz w:val="22"/>
        </w:rPr>
        <w:tab/>
        <w:t xml:space="preserve">Subsequent Material Events </w:t>
      </w:r>
    </w:p>
    <w:p w:rsidR="00143AF2" w:rsidRDefault="00143AF2">
      <w:pPr>
        <w:ind w:left="720"/>
        <w:jc w:val="both"/>
        <w:rPr>
          <w:sz w:val="22"/>
          <w:szCs w:val="22"/>
        </w:rPr>
      </w:pPr>
    </w:p>
    <w:p w:rsidR="00143AF2" w:rsidRDefault="00143AF2" w:rsidP="00485D78">
      <w:pPr>
        <w:ind w:left="720" w:hanging="720"/>
        <w:jc w:val="both"/>
        <w:rPr>
          <w:bCs/>
          <w:snapToGrid w:val="0"/>
          <w:color w:val="000000"/>
          <w:sz w:val="22"/>
          <w:szCs w:val="22"/>
        </w:rPr>
      </w:pPr>
      <w:r>
        <w:rPr>
          <w:b/>
          <w:snapToGrid w:val="0"/>
          <w:color w:val="000000"/>
          <w:sz w:val="22"/>
          <w:szCs w:val="22"/>
        </w:rPr>
        <w:tab/>
      </w:r>
      <w:r>
        <w:rPr>
          <w:bCs/>
          <w:snapToGrid w:val="0"/>
          <w:color w:val="000000"/>
          <w:sz w:val="22"/>
          <w:szCs w:val="22"/>
        </w:rPr>
        <w:t>There ha</w:t>
      </w:r>
      <w:r w:rsidR="006C451C">
        <w:rPr>
          <w:bCs/>
          <w:snapToGrid w:val="0"/>
          <w:color w:val="000000"/>
          <w:sz w:val="22"/>
          <w:szCs w:val="22"/>
        </w:rPr>
        <w:t>s</w:t>
      </w:r>
      <w:r>
        <w:rPr>
          <w:bCs/>
          <w:snapToGrid w:val="0"/>
          <w:color w:val="000000"/>
          <w:sz w:val="22"/>
          <w:szCs w:val="22"/>
        </w:rPr>
        <w:t xml:space="preserve"> been no other material events subsequent to the end of t</w:t>
      </w:r>
      <w:r w:rsidR="00EF07B3">
        <w:rPr>
          <w:bCs/>
          <w:snapToGrid w:val="0"/>
          <w:color w:val="000000"/>
          <w:sz w:val="22"/>
          <w:szCs w:val="22"/>
        </w:rPr>
        <w:t>he financial period en</w:t>
      </w:r>
      <w:r w:rsidR="0091587A">
        <w:rPr>
          <w:bCs/>
          <w:snapToGrid w:val="0"/>
          <w:color w:val="000000"/>
          <w:sz w:val="22"/>
          <w:szCs w:val="22"/>
        </w:rPr>
        <w:t xml:space="preserve">ded </w:t>
      </w:r>
      <w:r w:rsidR="00C421BC">
        <w:rPr>
          <w:bCs/>
          <w:snapToGrid w:val="0"/>
          <w:color w:val="000000"/>
          <w:sz w:val="22"/>
          <w:szCs w:val="22"/>
        </w:rPr>
        <w:t xml:space="preserve">        </w:t>
      </w:r>
      <w:r w:rsidR="00E5086A">
        <w:rPr>
          <w:bCs/>
          <w:snapToGrid w:val="0"/>
          <w:color w:val="000000"/>
          <w:sz w:val="22"/>
          <w:szCs w:val="22"/>
        </w:rPr>
        <w:t>31 March 2013</w:t>
      </w:r>
      <w:r>
        <w:rPr>
          <w:bCs/>
          <w:snapToGrid w:val="0"/>
          <w:color w:val="000000"/>
          <w:sz w:val="22"/>
          <w:szCs w:val="22"/>
        </w:rPr>
        <w:t xml:space="preserve"> that have not been reflected in the financial statements for the current period.</w:t>
      </w:r>
    </w:p>
    <w:p w:rsidR="00143AF2" w:rsidRDefault="00143AF2">
      <w:pPr>
        <w:ind w:left="720" w:hanging="720"/>
        <w:jc w:val="both"/>
        <w:rPr>
          <w:b/>
          <w:snapToGrid w:val="0"/>
          <w:color w:val="000000"/>
          <w:sz w:val="22"/>
          <w:szCs w:val="22"/>
        </w:rPr>
      </w:pPr>
    </w:p>
    <w:p w:rsidR="00E2357F" w:rsidRDefault="00E2357F">
      <w:pPr>
        <w:ind w:left="720" w:hanging="720"/>
        <w:jc w:val="both"/>
        <w:rPr>
          <w:b/>
          <w:snapToGrid w:val="0"/>
          <w:color w:val="000000"/>
          <w:sz w:val="22"/>
          <w:szCs w:val="22"/>
        </w:rPr>
      </w:pPr>
    </w:p>
    <w:p w:rsidR="00143AF2" w:rsidRDefault="001D5216">
      <w:pPr>
        <w:ind w:left="720" w:hanging="720"/>
        <w:jc w:val="both"/>
        <w:rPr>
          <w:b/>
          <w:snapToGrid w:val="0"/>
          <w:color w:val="000000"/>
          <w:sz w:val="22"/>
          <w:szCs w:val="22"/>
        </w:rPr>
      </w:pPr>
      <w:r>
        <w:rPr>
          <w:b/>
          <w:snapToGrid w:val="0"/>
          <w:color w:val="000000"/>
          <w:sz w:val="22"/>
          <w:szCs w:val="22"/>
        </w:rPr>
        <w:t>A11</w:t>
      </w:r>
      <w:r w:rsidR="00143AF2">
        <w:rPr>
          <w:b/>
          <w:snapToGrid w:val="0"/>
          <w:color w:val="000000"/>
          <w:sz w:val="22"/>
          <w:szCs w:val="22"/>
        </w:rPr>
        <w:t>.</w:t>
      </w:r>
      <w:r w:rsidR="00143AF2">
        <w:rPr>
          <w:b/>
          <w:snapToGrid w:val="0"/>
          <w:color w:val="000000"/>
          <w:sz w:val="22"/>
          <w:szCs w:val="22"/>
        </w:rPr>
        <w:tab/>
        <w:t>Changes in composition of the Group</w:t>
      </w:r>
    </w:p>
    <w:p w:rsidR="00143AF2" w:rsidRDefault="00143AF2">
      <w:pPr>
        <w:ind w:left="720"/>
        <w:jc w:val="both"/>
        <w:rPr>
          <w:snapToGrid w:val="0"/>
          <w:color w:val="000000"/>
          <w:sz w:val="22"/>
          <w:szCs w:val="22"/>
        </w:rPr>
      </w:pPr>
    </w:p>
    <w:p w:rsidR="00143AF2" w:rsidRDefault="00143AF2" w:rsidP="00485D78">
      <w:pPr>
        <w:pStyle w:val="BodyTextIndent2"/>
        <w:rPr>
          <w:szCs w:val="22"/>
        </w:rPr>
      </w:pPr>
      <w:r>
        <w:rPr>
          <w:szCs w:val="22"/>
        </w:rPr>
        <w:t xml:space="preserve">There are no changes in the composition of the Group for the current financial period ended       </w:t>
      </w:r>
      <w:r w:rsidR="00EF07B3">
        <w:rPr>
          <w:szCs w:val="22"/>
        </w:rPr>
        <w:t xml:space="preserve">   </w:t>
      </w:r>
      <w:r w:rsidR="00E5086A">
        <w:rPr>
          <w:szCs w:val="22"/>
        </w:rPr>
        <w:t>31 March</w:t>
      </w:r>
      <w:r w:rsidR="00B87C84">
        <w:rPr>
          <w:szCs w:val="22"/>
        </w:rPr>
        <w:t xml:space="preserve"> </w:t>
      </w:r>
      <w:r w:rsidR="00E5086A">
        <w:rPr>
          <w:szCs w:val="22"/>
        </w:rPr>
        <w:t>2013</w:t>
      </w:r>
      <w:r>
        <w:rPr>
          <w:szCs w:val="22"/>
        </w:rPr>
        <w:t xml:space="preserve"> to date.</w:t>
      </w:r>
    </w:p>
    <w:p w:rsidR="001F13EE" w:rsidRDefault="001F13EE">
      <w:pPr>
        <w:pStyle w:val="BodyTextIndent2"/>
        <w:rPr>
          <w:szCs w:val="22"/>
        </w:rPr>
      </w:pPr>
    </w:p>
    <w:p w:rsidR="00E2357F" w:rsidRDefault="00E2357F">
      <w:pPr>
        <w:pStyle w:val="BodyTextIndent2"/>
        <w:rPr>
          <w:szCs w:val="22"/>
        </w:rPr>
      </w:pPr>
    </w:p>
    <w:p w:rsidR="00143AF2" w:rsidRDefault="001D5216">
      <w:pPr>
        <w:jc w:val="both"/>
        <w:rPr>
          <w:sz w:val="22"/>
        </w:rPr>
      </w:pPr>
      <w:r>
        <w:rPr>
          <w:b/>
          <w:sz w:val="22"/>
        </w:rPr>
        <w:t>A12</w:t>
      </w:r>
      <w:r w:rsidR="00143AF2">
        <w:rPr>
          <w:b/>
          <w:sz w:val="22"/>
        </w:rPr>
        <w:t>.</w:t>
      </w:r>
      <w:r w:rsidR="00143AF2">
        <w:rPr>
          <w:sz w:val="22"/>
        </w:rPr>
        <w:tab/>
      </w:r>
      <w:r w:rsidR="00143AF2">
        <w:rPr>
          <w:b/>
          <w:sz w:val="22"/>
        </w:rPr>
        <w:t>Contingent Liabilities/Contingent Assets</w:t>
      </w:r>
    </w:p>
    <w:p w:rsidR="00143AF2" w:rsidRDefault="00143AF2">
      <w:pPr>
        <w:ind w:firstLine="720"/>
        <w:jc w:val="both"/>
        <w:rPr>
          <w:sz w:val="22"/>
        </w:rPr>
      </w:pPr>
    </w:p>
    <w:p w:rsidR="00143AF2" w:rsidRDefault="00143AF2" w:rsidP="00485D78">
      <w:pPr>
        <w:ind w:left="720"/>
        <w:jc w:val="both"/>
        <w:outlineLvl w:val="0"/>
        <w:rPr>
          <w:sz w:val="22"/>
        </w:rPr>
      </w:pPr>
      <w:r>
        <w:rPr>
          <w:sz w:val="22"/>
        </w:rPr>
        <w:t>There have been no changes and no material contingent liabilities/assets incurred by the Grou</w:t>
      </w:r>
      <w:r w:rsidR="000D2AC6">
        <w:rPr>
          <w:sz w:val="22"/>
        </w:rPr>
        <w:t xml:space="preserve">p as </w:t>
      </w:r>
      <w:r w:rsidR="005F1F97">
        <w:rPr>
          <w:sz w:val="22"/>
        </w:rPr>
        <w:t>at the per</w:t>
      </w:r>
      <w:r w:rsidR="001A78DE">
        <w:rPr>
          <w:sz w:val="22"/>
        </w:rPr>
        <w:t>iod</w:t>
      </w:r>
      <w:r w:rsidR="00E5086A">
        <w:rPr>
          <w:sz w:val="22"/>
        </w:rPr>
        <w:t xml:space="preserve"> ended 31 March</w:t>
      </w:r>
      <w:r w:rsidR="00741774">
        <w:rPr>
          <w:sz w:val="22"/>
        </w:rPr>
        <w:t xml:space="preserve"> </w:t>
      </w:r>
      <w:r w:rsidR="00E5086A">
        <w:rPr>
          <w:sz w:val="22"/>
        </w:rPr>
        <w:t>2013</w:t>
      </w:r>
      <w:r>
        <w:rPr>
          <w:sz w:val="22"/>
        </w:rPr>
        <w:t>.</w:t>
      </w:r>
    </w:p>
    <w:p w:rsidR="000D2AC6" w:rsidRDefault="000D2AC6">
      <w:pPr>
        <w:outlineLvl w:val="0"/>
        <w:rPr>
          <w:b/>
          <w:sz w:val="22"/>
          <w:szCs w:val="22"/>
        </w:rPr>
      </w:pPr>
    </w:p>
    <w:p w:rsidR="00D26CA1" w:rsidRDefault="00D26CA1">
      <w:pPr>
        <w:outlineLvl w:val="0"/>
        <w:rPr>
          <w:b/>
          <w:sz w:val="22"/>
          <w:szCs w:val="22"/>
        </w:rPr>
      </w:pPr>
    </w:p>
    <w:p w:rsidR="00143AF2" w:rsidRDefault="00143AF2">
      <w:pPr>
        <w:outlineLvl w:val="0"/>
        <w:rPr>
          <w:b/>
          <w:sz w:val="22"/>
          <w:szCs w:val="22"/>
        </w:rPr>
      </w:pPr>
      <w:r>
        <w:rPr>
          <w:b/>
          <w:sz w:val="22"/>
          <w:szCs w:val="22"/>
        </w:rPr>
        <w:t xml:space="preserve">ADDITIONAL INFORMATION REQUIRED BY </w:t>
      </w:r>
      <w:smartTag w:uri="urn:schemas-microsoft-com:office:smarttags" w:element="City">
        <w:smartTag w:uri="urn:schemas-microsoft-com:office:smarttags" w:element="place">
          <w:r>
            <w:rPr>
              <w:b/>
              <w:sz w:val="22"/>
              <w:szCs w:val="22"/>
            </w:rPr>
            <w:t>BURSA</w:t>
          </w:r>
        </w:smartTag>
      </w:smartTag>
      <w:r>
        <w:rPr>
          <w:b/>
          <w:sz w:val="22"/>
          <w:szCs w:val="22"/>
        </w:rPr>
        <w:t xml:space="preserve"> </w:t>
      </w:r>
      <w:smartTag w:uri="urn:schemas-microsoft-com:office:smarttags" w:element="country-region">
        <w:smartTag w:uri="urn:schemas-microsoft-com:office:smarttags" w:element="place">
          <w:r>
            <w:rPr>
              <w:b/>
              <w:sz w:val="22"/>
              <w:szCs w:val="22"/>
            </w:rPr>
            <w:t>MALAYSIA</w:t>
          </w:r>
        </w:smartTag>
      </w:smartTag>
      <w:r>
        <w:rPr>
          <w:b/>
          <w:sz w:val="22"/>
          <w:szCs w:val="22"/>
        </w:rPr>
        <w:t xml:space="preserve"> SECURITIES BERHAD’S LISTING REQUIREMENTS</w:t>
      </w:r>
    </w:p>
    <w:p w:rsidR="00143AF2" w:rsidRDefault="00143AF2">
      <w:pPr>
        <w:outlineLvl w:val="0"/>
        <w:rPr>
          <w:b/>
          <w:sz w:val="22"/>
          <w:szCs w:val="22"/>
        </w:rPr>
      </w:pPr>
    </w:p>
    <w:p w:rsidR="00B55F68" w:rsidRDefault="00B55F68">
      <w:pPr>
        <w:outlineLvl w:val="0"/>
        <w:rPr>
          <w:b/>
          <w:sz w:val="22"/>
          <w:szCs w:val="22"/>
        </w:rPr>
      </w:pPr>
    </w:p>
    <w:p w:rsidR="00143AF2" w:rsidRPr="00B33AB3" w:rsidRDefault="00143AF2">
      <w:pPr>
        <w:ind w:left="720" w:hanging="720"/>
        <w:jc w:val="both"/>
        <w:rPr>
          <w:sz w:val="22"/>
        </w:rPr>
      </w:pPr>
      <w:r w:rsidRPr="00B33AB3">
        <w:rPr>
          <w:b/>
          <w:sz w:val="22"/>
        </w:rPr>
        <w:t>B1.</w:t>
      </w:r>
      <w:r w:rsidRPr="00B33AB3">
        <w:rPr>
          <w:b/>
          <w:sz w:val="22"/>
        </w:rPr>
        <w:tab/>
        <w:t>Review of Performance</w:t>
      </w:r>
    </w:p>
    <w:p w:rsidR="00143AF2" w:rsidRPr="00B33AB3" w:rsidRDefault="00143AF2">
      <w:pPr>
        <w:ind w:left="720"/>
        <w:jc w:val="both"/>
        <w:rPr>
          <w:sz w:val="22"/>
        </w:rPr>
      </w:pPr>
      <w:r w:rsidRPr="00B33AB3">
        <w:rPr>
          <w:sz w:val="22"/>
          <w:szCs w:val="24"/>
          <w:lang w:val="en-GB" w:eastAsia="zh-CN"/>
        </w:rPr>
        <w:tab/>
      </w:r>
    </w:p>
    <w:p w:rsidR="00D16C62" w:rsidRPr="00B33AB3" w:rsidRDefault="00DB40D2" w:rsidP="005469CA">
      <w:pPr>
        <w:ind w:left="720" w:hanging="720"/>
        <w:jc w:val="both"/>
        <w:rPr>
          <w:sz w:val="22"/>
        </w:rPr>
      </w:pPr>
      <w:r w:rsidRPr="00B33AB3">
        <w:rPr>
          <w:sz w:val="22"/>
        </w:rPr>
        <w:tab/>
      </w:r>
      <w:r w:rsidR="00D16C62" w:rsidRPr="00B33AB3">
        <w:rPr>
          <w:sz w:val="22"/>
        </w:rPr>
        <w:t>The G</w:t>
      </w:r>
      <w:r w:rsidR="00E1411D" w:rsidRPr="00B33AB3">
        <w:rPr>
          <w:sz w:val="22"/>
        </w:rPr>
        <w:t>r</w:t>
      </w:r>
      <w:r w:rsidR="0091587A" w:rsidRPr="00B33AB3">
        <w:rPr>
          <w:sz w:val="22"/>
        </w:rPr>
        <w:t>ou</w:t>
      </w:r>
      <w:r w:rsidR="001F13EE">
        <w:rPr>
          <w:sz w:val="22"/>
        </w:rPr>
        <w:t>p recor</w:t>
      </w:r>
      <w:r w:rsidR="00D3284C">
        <w:rPr>
          <w:sz w:val="22"/>
        </w:rPr>
        <w:t>ded a turn</w:t>
      </w:r>
      <w:r w:rsidR="00F82246">
        <w:rPr>
          <w:sz w:val="22"/>
        </w:rPr>
        <w:t>over of RM15.50</w:t>
      </w:r>
      <w:r w:rsidR="00891DEF">
        <w:rPr>
          <w:sz w:val="22"/>
        </w:rPr>
        <w:t xml:space="preserve"> million for the</w:t>
      </w:r>
      <w:r w:rsidR="00D16C62" w:rsidRPr="00B33AB3">
        <w:rPr>
          <w:sz w:val="22"/>
        </w:rPr>
        <w:t xml:space="preserve"> </w:t>
      </w:r>
      <w:r w:rsidR="00891DEF">
        <w:rPr>
          <w:sz w:val="22"/>
        </w:rPr>
        <w:t xml:space="preserve">current </w:t>
      </w:r>
      <w:r w:rsidR="00D16C62" w:rsidRPr="00B33AB3">
        <w:rPr>
          <w:sz w:val="22"/>
        </w:rPr>
        <w:t>Fin</w:t>
      </w:r>
      <w:r w:rsidR="0091587A" w:rsidRPr="00B33AB3">
        <w:rPr>
          <w:sz w:val="22"/>
        </w:rPr>
        <w:t xml:space="preserve">ancial Quarter ended </w:t>
      </w:r>
      <w:r w:rsidR="00681B94" w:rsidRPr="00B33AB3">
        <w:rPr>
          <w:sz w:val="22"/>
        </w:rPr>
        <w:t xml:space="preserve">          </w:t>
      </w:r>
      <w:r w:rsidR="00E5086A">
        <w:rPr>
          <w:sz w:val="22"/>
        </w:rPr>
        <w:t>31 March</w:t>
      </w:r>
      <w:r w:rsidR="004868DB" w:rsidRPr="00B33AB3">
        <w:rPr>
          <w:sz w:val="22"/>
        </w:rPr>
        <w:t xml:space="preserve"> 201</w:t>
      </w:r>
      <w:r w:rsidR="00E5086A">
        <w:rPr>
          <w:sz w:val="22"/>
        </w:rPr>
        <w:t>3</w:t>
      </w:r>
      <w:r w:rsidR="004868DB" w:rsidRPr="00B33AB3">
        <w:rPr>
          <w:sz w:val="22"/>
        </w:rPr>
        <w:t xml:space="preserve"> as compared with RM1</w:t>
      </w:r>
      <w:r w:rsidR="00F82246">
        <w:rPr>
          <w:sz w:val="22"/>
        </w:rPr>
        <w:t>4.39</w:t>
      </w:r>
      <w:r w:rsidR="00D16C62" w:rsidRPr="00B33AB3">
        <w:rPr>
          <w:sz w:val="22"/>
        </w:rPr>
        <w:t xml:space="preserve"> million in the same period of </w:t>
      </w:r>
      <w:r w:rsidR="006C451C" w:rsidRPr="00B33AB3">
        <w:rPr>
          <w:sz w:val="22"/>
        </w:rPr>
        <w:t xml:space="preserve">the </w:t>
      </w:r>
      <w:r w:rsidR="00D16C62" w:rsidRPr="00B33AB3">
        <w:rPr>
          <w:sz w:val="22"/>
        </w:rPr>
        <w:t xml:space="preserve">preceding year. This </w:t>
      </w:r>
      <w:r w:rsidR="00B57112">
        <w:rPr>
          <w:sz w:val="22"/>
        </w:rPr>
        <w:t>represents an in</w:t>
      </w:r>
      <w:r w:rsidR="00A10264">
        <w:rPr>
          <w:sz w:val="22"/>
        </w:rPr>
        <w:t>crease of 7.7</w:t>
      </w:r>
      <w:r w:rsidR="005F1F97">
        <w:rPr>
          <w:sz w:val="22"/>
        </w:rPr>
        <w:t xml:space="preserve">% </w:t>
      </w:r>
      <w:r w:rsidR="00D425D8">
        <w:rPr>
          <w:sz w:val="22"/>
        </w:rPr>
        <w:t xml:space="preserve">in comparison of </w:t>
      </w:r>
      <w:r w:rsidR="001A78DE">
        <w:rPr>
          <w:sz w:val="22"/>
        </w:rPr>
        <w:t>both</w:t>
      </w:r>
      <w:r w:rsidR="00891DEF">
        <w:rPr>
          <w:sz w:val="22"/>
        </w:rPr>
        <w:t xml:space="preserve"> financial quarters involved i</w:t>
      </w:r>
      <w:r w:rsidR="00D16C62" w:rsidRPr="00B33AB3">
        <w:rPr>
          <w:sz w:val="22"/>
        </w:rPr>
        <w:t>n the Group’</w:t>
      </w:r>
      <w:r w:rsidR="00FE75A4" w:rsidRPr="00B33AB3">
        <w:rPr>
          <w:sz w:val="22"/>
        </w:rPr>
        <w:t>s consolidated turnover</w:t>
      </w:r>
      <w:r w:rsidR="00203424" w:rsidRPr="00B33AB3">
        <w:rPr>
          <w:sz w:val="22"/>
        </w:rPr>
        <w:t>.</w:t>
      </w:r>
    </w:p>
    <w:p w:rsidR="00D16C62" w:rsidRPr="00B33AB3" w:rsidRDefault="00D16C62" w:rsidP="00D16C62">
      <w:pPr>
        <w:ind w:left="720" w:hanging="720"/>
        <w:jc w:val="both"/>
        <w:rPr>
          <w:sz w:val="22"/>
        </w:rPr>
      </w:pPr>
    </w:p>
    <w:p w:rsidR="00D16C62" w:rsidRPr="00B33AB3" w:rsidRDefault="0002356A" w:rsidP="001B1FA8">
      <w:pPr>
        <w:ind w:left="720"/>
        <w:jc w:val="both"/>
        <w:rPr>
          <w:sz w:val="22"/>
        </w:rPr>
      </w:pPr>
      <w:r w:rsidRPr="00B33AB3">
        <w:rPr>
          <w:sz w:val="22"/>
        </w:rPr>
        <w:t>T</w:t>
      </w:r>
      <w:r w:rsidR="001F20C5" w:rsidRPr="00B33AB3">
        <w:rPr>
          <w:sz w:val="22"/>
        </w:rPr>
        <w:t xml:space="preserve">he </w:t>
      </w:r>
      <w:r w:rsidR="00FE75A4" w:rsidRPr="00B33AB3">
        <w:rPr>
          <w:sz w:val="22"/>
        </w:rPr>
        <w:t>G</w:t>
      </w:r>
      <w:r w:rsidR="00B17F8B" w:rsidRPr="00B33AB3">
        <w:rPr>
          <w:sz w:val="22"/>
        </w:rPr>
        <w:t xml:space="preserve">roup </w:t>
      </w:r>
      <w:r w:rsidRPr="00B33AB3">
        <w:rPr>
          <w:sz w:val="22"/>
        </w:rPr>
        <w:t>posted</w:t>
      </w:r>
      <w:r w:rsidR="0064156D" w:rsidRPr="00B33AB3">
        <w:rPr>
          <w:sz w:val="22"/>
        </w:rPr>
        <w:t xml:space="preserve"> </w:t>
      </w:r>
      <w:r w:rsidR="00891DEF">
        <w:rPr>
          <w:sz w:val="22"/>
        </w:rPr>
        <w:t xml:space="preserve">its current </w:t>
      </w:r>
      <w:r w:rsidR="00686B67">
        <w:rPr>
          <w:sz w:val="22"/>
        </w:rPr>
        <w:t>Q</w:t>
      </w:r>
      <w:r w:rsidR="00D16C62" w:rsidRPr="00B33AB3">
        <w:rPr>
          <w:sz w:val="22"/>
        </w:rPr>
        <w:t>uarter resu</w:t>
      </w:r>
      <w:r w:rsidR="00B17F8B" w:rsidRPr="00B33AB3">
        <w:rPr>
          <w:sz w:val="22"/>
        </w:rPr>
        <w:t>l</w:t>
      </w:r>
      <w:r w:rsidR="00681B94" w:rsidRPr="00B33AB3">
        <w:rPr>
          <w:sz w:val="22"/>
        </w:rPr>
        <w:t>t</w:t>
      </w:r>
      <w:r w:rsidR="005F1F97">
        <w:rPr>
          <w:sz w:val="22"/>
        </w:rPr>
        <w:t>s with a loss</w:t>
      </w:r>
      <w:r w:rsidR="004868DB" w:rsidRPr="00B33AB3">
        <w:rPr>
          <w:sz w:val="22"/>
        </w:rPr>
        <w:t xml:space="preserve"> after tax</w:t>
      </w:r>
      <w:r w:rsidR="001A78DE">
        <w:rPr>
          <w:sz w:val="22"/>
        </w:rPr>
        <w:t xml:space="preserve"> of RM1</w:t>
      </w:r>
      <w:r w:rsidR="00F82246">
        <w:rPr>
          <w:sz w:val="22"/>
        </w:rPr>
        <w:t>,149</w:t>
      </w:r>
      <w:r w:rsidR="005F1F97">
        <w:rPr>
          <w:sz w:val="22"/>
        </w:rPr>
        <w:t>,000.</w:t>
      </w:r>
      <w:r w:rsidR="001F3E5A">
        <w:rPr>
          <w:sz w:val="22"/>
        </w:rPr>
        <w:t xml:space="preserve"> </w:t>
      </w:r>
      <w:r w:rsidR="005F1F97">
        <w:rPr>
          <w:sz w:val="22"/>
        </w:rPr>
        <w:t xml:space="preserve"> The </w:t>
      </w:r>
      <w:r w:rsidR="007C5958">
        <w:rPr>
          <w:sz w:val="22"/>
        </w:rPr>
        <w:t>lower</w:t>
      </w:r>
      <w:r w:rsidR="001A78DE">
        <w:rPr>
          <w:sz w:val="22"/>
        </w:rPr>
        <w:t xml:space="preserve"> </w:t>
      </w:r>
      <w:r w:rsidR="005F1F97">
        <w:rPr>
          <w:sz w:val="22"/>
        </w:rPr>
        <w:t>loss</w:t>
      </w:r>
      <w:r w:rsidR="00891DEF">
        <w:rPr>
          <w:sz w:val="22"/>
        </w:rPr>
        <w:t xml:space="preserve"> recorded was</w:t>
      </w:r>
      <w:r w:rsidR="001A78DE">
        <w:rPr>
          <w:sz w:val="22"/>
        </w:rPr>
        <w:t xml:space="preserve"> attributed </w:t>
      </w:r>
      <w:r w:rsidR="007C5958">
        <w:rPr>
          <w:sz w:val="22"/>
        </w:rPr>
        <w:t xml:space="preserve">to the Group’s </w:t>
      </w:r>
      <w:r w:rsidR="001F3E5A">
        <w:rPr>
          <w:sz w:val="22"/>
        </w:rPr>
        <w:t xml:space="preserve">continuous effort in its </w:t>
      </w:r>
      <w:r w:rsidR="007C5958">
        <w:rPr>
          <w:sz w:val="22"/>
        </w:rPr>
        <w:t xml:space="preserve">restructuring exercise </w:t>
      </w:r>
      <w:r w:rsidR="001F3E5A">
        <w:rPr>
          <w:sz w:val="22"/>
        </w:rPr>
        <w:t>by the disposal o</w:t>
      </w:r>
      <w:r w:rsidR="007C5958">
        <w:rPr>
          <w:sz w:val="22"/>
        </w:rPr>
        <w:t xml:space="preserve">f non-performing subsidiaries in </w:t>
      </w:r>
      <w:r w:rsidR="001F3E5A">
        <w:rPr>
          <w:sz w:val="22"/>
        </w:rPr>
        <w:t xml:space="preserve">the </w:t>
      </w:r>
      <w:r w:rsidR="007C5958">
        <w:rPr>
          <w:sz w:val="22"/>
        </w:rPr>
        <w:t>prior financial year</w:t>
      </w:r>
      <w:r w:rsidR="007C5958" w:rsidRPr="00B33AB3">
        <w:rPr>
          <w:sz w:val="22"/>
        </w:rPr>
        <w:t>.</w:t>
      </w:r>
      <w:r w:rsidR="001B1FA8" w:rsidRPr="00B33AB3">
        <w:rPr>
          <w:sz w:val="22"/>
        </w:rPr>
        <w:t xml:space="preserve"> As</w:t>
      </w:r>
      <w:r w:rsidR="00686B67">
        <w:rPr>
          <w:sz w:val="22"/>
        </w:rPr>
        <w:t xml:space="preserve"> a comparison, the G</w:t>
      </w:r>
      <w:r w:rsidRPr="00B33AB3">
        <w:rPr>
          <w:sz w:val="22"/>
        </w:rPr>
        <w:t xml:space="preserve">roup reported a loss </w:t>
      </w:r>
      <w:r w:rsidR="009139FE">
        <w:rPr>
          <w:sz w:val="22"/>
        </w:rPr>
        <w:t>after tax of RM</w:t>
      </w:r>
      <w:r w:rsidR="00F82246">
        <w:rPr>
          <w:sz w:val="22"/>
        </w:rPr>
        <w:t>3,36</w:t>
      </w:r>
      <w:r w:rsidR="001A78DE">
        <w:rPr>
          <w:sz w:val="22"/>
        </w:rPr>
        <w:t>6</w:t>
      </w:r>
      <w:r w:rsidR="00891DEF">
        <w:rPr>
          <w:sz w:val="22"/>
        </w:rPr>
        <w:t xml:space="preserve">,000 </w:t>
      </w:r>
      <w:r w:rsidR="00D16C62" w:rsidRPr="00B33AB3">
        <w:rPr>
          <w:sz w:val="22"/>
        </w:rPr>
        <w:t>for th</w:t>
      </w:r>
      <w:r w:rsidR="007574E1" w:rsidRPr="00B33AB3">
        <w:rPr>
          <w:sz w:val="22"/>
        </w:rPr>
        <w:t>e cor</w:t>
      </w:r>
      <w:r w:rsidR="00521B4D" w:rsidRPr="00B33AB3">
        <w:rPr>
          <w:sz w:val="22"/>
        </w:rPr>
        <w:t>respo</w:t>
      </w:r>
      <w:r w:rsidR="00ED4374">
        <w:rPr>
          <w:sz w:val="22"/>
        </w:rPr>
        <w:t>nd</w:t>
      </w:r>
      <w:r w:rsidR="00D3284C">
        <w:rPr>
          <w:sz w:val="22"/>
        </w:rPr>
        <w:t>i</w:t>
      </w:r>
      <w:r w:rsidR="001A78DE">
        <w:rPr>
          <w:sz w:val="22"/>
        </w:rPr>
        <w:t>ng quarter ended 31</w:t>
      </w:r>
      <w:r w:rsidR="001A78DE" w:rsidRPr="001A78DE">
        <w:rPr>
          <w:sz w:val="22"/>
          <w:vertAlign w:val="superscript"/>
        </w:rPr>
        <w:t>st</w:t>
      </w:r>
      <w:r w:rsidR="00E5086A">
        <w:rPr>
          <w:sz w:val="22"/>
        </w:rPr>
        <w:t xml:space="preserve"> March 2012</w:t>
      </w:r>
      <w:r w:rsidR="00D16C62" w:rsidRPr="00B33AB3">
        <w:rPr>
          <w:sz w:val="22"/>
        </w:rPr>
        <w:t>.</w:t>
      </w:r>
      <w:r w:rsidR="005469CA" w:rsidRPr="00B33AB3">
        <w:rPr>
          <w:sz w:val="22"/>
        </w:rPr>
        <w:t xml:space="preserve"> </w:t>
      </w:r>
    </w:p>
    <w:p w:rsidR="00DB40D2" w:rsidRPr="00B33AB3" w:rsidRDefault="00DB40D2" w:rsidP="00BB2CD1">
      <w:pPr>
        <w:ind w:left="720"/>
        <w:jc w:val="both"/>
        <w:rPr>
          <w:sz w:val="22"/>
        </w:rPr>
      </w:pPr>
    </w:p>
    <w:p w:rsidR="00143AF2" w:rsidRPr="00B33AB3" w:rsidRDefault="00143AF2">
      <w:pPr>
        <w:ind w:left="720"/>
        <w:jc w:val="both"/>
        <w:rPr>
          <w:sz w:val="22"/>
        </w:rPr>
      </w:pPr>
    </w:p>
    <w:p w:rsidR="00143AF2" w:rsidRPr="00B33AB3" w:rsidRDefault="00143AF2">
      <w:pPr>
        <w:pStyle w:val="Heading9"/>
        <w:numPr>
          <w:ilvl w:val="0"/>
          <w:numId w:val="0"/>
        </w:numPr>
        <w:ind w:left="720" w:hanging="720"/>
        <w:rPr>
          <w:bCs/>
        </w:rPr>
      </w:pPr>
      <w:r w:rsidRPr="00B33AB3">
        <w:rPr>
          <w:bCs/>
        </w:rPr>
        <w:t>B2.</w:t>
      </w:r>
      <w:r w:rsidRPr="00B33AB3">
        <w:rPr>
          <w:bCs/>
        </w:rPr>
        <w:tab/>
        <w:t>Results Comparison with immediate preceding quarter</w:t>
      </w:r>
    </w:p>
    <w:p w:rsidR="00143AF2" w:rsidRPr="00B33AB3" w:rsidRDefault="00143AF2">
      <w:pPr>
        <w:ind w:left="720" w:hanging="720"/>
        <w:jc w:val="both"/>
        <w:rPr>
          <w:b/>
          <w:bCs/>
          <w:sz w:val="22"/>
        </w:rPr>
      </w:pPr>
    </w:p>
    <w:p w:rsidR="00D16C62" w:rsidRDefault="00143AF2" w:rsidP="00E9080B">
      <w:pPr>
        <w:ind w:left="720" w:hanging="720"/>
        <w:jc w:val="both"/>
        <w:rPr>
          <w:sz w:val="22"/>
        </w:rPr>
      </w:pPr>
      <w:r w:rsidRPr="00B33AB3">
        <w:rPr>
          <w:sz w:val="22"/>
        </w:rPr>
        <w:tab/>
      </w:r>
      <w:r w:rsidR="00D16C62" w:rsidRPr="00B33AB3">
        <w:rPr>
          <w:sz w:val="22"/>
        </w:rPr>
        <w:t>In the current quarter under review, the G</w:t>
      </w:r>
      <w:r w:rsidR="00891DEF">
        <w:rPr>
          <w:sz w:val="22"/>
        </w:rPr>
        <w:t xml:space="preserve">roup </w:t>
      </w:r>
      <w:r w:rsidR="005F1F97">
        <w:rPr>
          <w:sz w:val="22"/>
        </w:rPr>
        <w:t>registered a consolidated</w:t>
      </w:r>
      <w:r w:rsidR="001F3E5A">
        <w:rPr>
          <w:sz w:val="22"/>
        </w:rPr>
        <w:t xml:space="preserve"> a</w:t>
      </w:r>
      <w:r w:rsidR="005F1F97">
        <w:rPr>
          <w:sz w:val="22"/>
        </w:rPr>
        <w:t xml:space="preserve"> loss</w:t>
      </w:r>
      <w:r w:rsidR="004B6DC7" w:rsidRPr="00B33AB3">
        <w:rPr>
          <w:sz w:val="22"/>
        </w:rPr>
        <w:t xml:space="preserve"> </w:t>
      </w:r>
      <w:r w:rsidR="007574E1" w:rsidRPr="00B33AB3">
        <w:rPr>
          <w:sz w:val="22"/>
        </w:rPr>
        <w:t>be</w:t>
      </w:r>
      <w:r w:rsidR="00521B4D" w:rsidRPr="00B33AB3">
        <w:rPr>
          <w:sz w:val="22"/>
        </w:rPr>
        <w:t>fo</w:t>
      </w:r>
      <w:r w:rsidR="00ED4374">
        <w:rPr>
          <w:sz w:val="22"/>
        </w:rPr>
        <w:t xml:space="preserve">re tax of      </w:t>
      </w:r>
      <w:r w:rsidR="00F82246">
        <w:rPr>
          <w:sz w:val="22"/>
        </w:rPr>
        <w:t xml:space="preserve">     RM1,084</w:t>
      </w:r>
      <w:r w:rsidR="00891DEF">
        <w:rPr>
          <w:sz w:val="22"/>
        </w:rPr>
        <w:t>,000</w:t>
      </w:r>
      <w:r w:rsidR="00C46B3D" w:rsidRPr="00B33AB3">
        <w:rPr>
          <w:sz w:val="22"/>
        </w:rPr>
        <w:t xml:space="preserve"> </w:t>
      </w:r>
      <w:r w:rsidR="007574E1" w:rsidRPr="00B33AB3">
        <w:rPr>
          <w:sz w:val="22"/>
        </w:rPr>
        <w:t>as compared to its los</w:t>
      </w:r>
      <w:r w:rsidR="004868DB" w:rsidRPr="00B33AB3">
        <w:rPr>
          <w:sz w:val="22"/>
        </w:rPr>
        <w:t>s before tax of RM</w:t>
      </w:r>
      <w:r w:rsidR="00F82246">
        <w:rPr>
          <w:sz w:val="22"/>
        </w:rPr>
        <w:t>111</w:t>
      </w:r>
      <w:r w:rsidR="009139FE">
        <w:rPr>
          <w:sz w:val="22"/>
        </w:rPr>
        <w:t xml:space="preserve">,000 </w:t>
      </w:r>
      <w:r w:rsidR="007574E1" w:rsidRPr="00B33AB3">
        <w:rPr>
          <w:sz w:val="22"/>
        </w:rPr>
        <w:t>in</w:t>
      </w:r>
      <w:r w:rsidR="00D16C62" w:rsidRPr="00B33AB3">
        <w:rPr>
          <w:sz w:val="22"/>
        </w:rPr>
        <w:t xml:space="preserve"> t</w:t>
      </w:r>
      <w:r w:rsidR="007574E1" w:rsidRPr="00B33AB3">
        <w:rPr>
          <w:sz w:val="22"/>
        </w:rPr>
        <w:t xml:space="preserve">he </w:t>
      </w:r>
      <w:r w:rsidR="00891DEF">
        <w:rPr>
          <w:sz w:val="22"/>
        </w:rPr>
        <w:t xml:space="preserve">immediate </w:t>
      </w:r>
      <w:r w:rsidR="007574E1" w:rsidRPr="00B33AB3">
        <w:rPr>
          <w:sz w:val="22"/>
        </w:rPr>
        <w:t>preceding quart</w:t>
      </w:r>
      <w:r w:rsidR="00F82246">
        <w:rPr>
          <w:sz w:val="22"/>
        </w:rPr>
        <w:t xml:space="preserve">er. </w:t>
      </w:r>
      <w:r w:rsidR="001F3E5A">
        <w:rPr>
          <w:sz w:val="22"/>
        </w:rPr>
        <w:t xml:space="preserve"> </w:t>
      </w:r>
      <w:r w:rsidR="00F82246">
        <w:rPr>
          <w:sz w:val="22"/>
        </w:rPr>
        <w:t>The high</w:t>
      </w:r>
      <w:r w:rsidR="0057181D">
        <w:rPr>
          <w:sz w:val="22"/>
        </w:rPr>
        <w:t xml:space="preserve">er loss </w:t>
      </w:r>
      <w:r w:rsidR="00ED4374">
        <w:rPr>
          <w:sz w:val="22"/>
        </w:rPr>
        <w:t>reported w</w:t>
      </w:r>
      <w:r w:rsidR="00F82246">
        <w:rPr>
          <w:sz w:val="22"/>
        </w:rPr>
        <w:t>as</w:t>
      </w:r>
      <w:r w:rsidR="0057181D">
        <w:rPr>
          <w:sz w:val="22"/>
        </w:rPr>
        <w:t xml:space="preserve"> mainly due to </w:t>
      </w:r>
      <w:r w:rsidR="001F3E5A">
        <w:rPr>
          <w:sz w:val="22"/>
        </w:rPr>
        <w:t xml:space="preserve">the slightly </w:t>
      </w:r>
      <w:r w:rsidR="00F913CB">
        <w:rPr>
          <w:sz w:val="22"/>
        </w:rPr>
        <w:t>low</w:t>
      </w:r>
      <w:r w:rsidR="007C5958">
        <w:rPr>
          <w:sz w:val="22"/>
        </w:rPr>
        <w:t xml:space="preserve">er </w:t>
      </w:r>
      <w:r w:rsidR="00F913CB">
        <w:rPr>
          <w:sz w:val="22"/>
        </w:rPr>
        <w:t xml:space="preserve">turnover reported </w:t>
      </w:r>
      <w:r w:rsidR="00ED4374">
        <w:rPr>
          <w:sz w:val="22"/>
        </w:rPr>
        <w:t>in</w:t>
      </w:r>
      <w:r w:rsidR="00BE01D0">
        <w:rPr>
          <w:sz w:val="22"/>
        </w:rPr>
        <w:t xml:space="preserve"> </w:t>
      </w:r>
      <w:r w:rsidR="002C6492">
        <w:rPr>
          <w:sz w:val="22"/>
        </w:rPr>
        <w:t xml:space="preserve">the </w:t>
      </w:r>
      <w:r w:rsidR="00BE01D0">
        <w:rPr>
          <w:sz w:val="22"/>
        </w:rPr>
        <w:t>current financial quarter</w:t>
      </w:r>
      <w:r w:rsidR="001F3E5A">
        <w:rPr>
          <w:sz w:val="22"/>
        </w:rPr>
        <w:t xml:space="preserve"> under review</w:t>
      </w:r>
      <w:r w:rsidR="00BE01D0">
        <w:rPr>
          <w:sz w:val="22"/>
        </w:rPr>
        <w:t>.</w:t>
      </w:r>
    </w:p>
    <w:p w:rsidR="007574E1" w:rsidRDefault="007574E1" w:rsidP="00D16C62">
      <w:pPr>
        <w:ind w:left="720" w:hanging="720"/>
        <w:jc w:val="both"/>
      </w:pPr>
    </w:p>
    <w:p w:rsidR="00FC6386" w:rsidRDefault="00FC6386" w:rsidP="00D16C62">
      <w:pPr>
        <w:ind w:left="720" w:hanging="720"/>
        <w:jc w:val="both"/>
      </w:pPr>
    </w:p>
    <w:p w:rsidR="00FC6386" w:rsidRDefault="00FC6386" w:rsidP="00D16C62">
      <w:pPr>
        <w:ind w:left="720" w:hanging="720"/>
        <w:jc w:val="both"/>
      </w:pPr>
    </w:p>
    <w:p w:rsidR="00FC6386" w:rsidRDefault="00FC6386" w:rsidP="00D16C62">
      <w:pPr>
        <w:ind w:left="720" w:hanging="720"/>
        <w:jc w:val="both"/>
      </w:pPr>
    </w:p>
    <w:p w:rsidR="00FC6386" w:rsidRDefault="00FC6386" w:rsidP="00D16C62">
      <w:pPr>
        <w:ind w:left="720" w:hanging="720"/>
        <w:jc w:val="both"/>
      </w:pPr>
    </w:p>
    <w:p w:rsidR="00E2357F" w:rsidRDefault="00E2357F" w:rsidP="00D16C62">
      <w:pPr>
        <w:ind w:left="720" w:hanging="720"/>
        <w:jc w:val="both"/>
      </w:pPr>
    </w:p>
    <w:p w:rsidR="00143AF2" w:rsidRDefault="00143AF2">
      <w:pPr>
        <w:pStyle w:val="Heading9"/>
        <w:numPr>
          <w:ilvl w:val="0"/>
          <w:numId w:val="0"/>
        </w:numPr>
        <w:ind w:left="720" w:hanging="720"/>
        <w:rPr>
          <w:bCs/>
        </w:rPr>
      </w:pPr>
      <w:r>
        <w:rPr>
          <w:bCs/>
        </w:rPr>
        <w:lastRenderedPageBreak/>
        <w:t>B3.</w:t>
      </w:r>
      <w:r>
        <w:rPr>
          <w:bCs/>
        </w:rPr>
        <w:tab/>
        <w:t>Current Year Prospects</w:t>
      </w:r>
    </w:p>
    <w:p w:rsidR="00143AF2" w:rsidRDefault="00143AF2">
      <w:pPr>
        <w:ind w:left="720" w:hanging="720"/>
        <w:jc w:val="both"/>
        <w:rPr>
          <w:b/>
          <w:bCs/>
          <w:sz w:val="22"/>
        </w:rPr>
      </w:pPr>
    </w:p>
    <w:p w:rsidR="00143AF2" w:rsidRDefault="00143AF2" w:rsidP="004D7B22">
      <w:pPr>
        <w:ind w:left="720" w:hanging="720"/>
        <w:jc w:val="both"/>
        <w:rPr>
          <w:sz w:val="22"/>
        </w:rPr>
      </w:pPr>
      <w:r>
        <w:rPr>
          <w:b/>
          <w:bCs/>
          <w:sz w:val="22"/>
        </w:rPr>
        <w:tab/>
      </w:r>
      <w:r>
        <w:rPr>
          <w:sz w:val="22"/>
        </w:rPr>
        <w:t>The overall outlook for the Group’s performance fo</w:t>
      </w:r>
      <w:r w:rsidR="004D7B22">
        <w:rPr>
          <w:sz w:val="22"/>
        </w:rPr>
        <w:t xml:space="preserve">r the rest of the year </w:t>
      </w:r>
      <w:r w:rsidR="00216084">
        <w:rPr>
          <w:sz w:val="22"/>
        </w:rPr>
        <w:t>remains</w:t>
      </w:r>
      <w:r w:rsidR="00BB1074">
        <w:rPr>
          <w:sz w:val="22"/>
        </w:rPr>
        <w:t xml:space="preserve"> slow </w:t>
      </w:r>
      <w:r w:rsidR="00216084">
        <w:rPr>
          <w:sz w:val="22"/>
        </w:rPr>
        <w:t xml:space="preserve">but will be very </w:t>
      </w:r>
      <w:r w:rsidR="004D7B22">
        <w:rPr>
          <w:sz w:val="22"/>
        </w:rPr>
        <w:t xml:space="preserve">challenging </w:t>
      </w:r>
      <w:r w:rsidR="00216084">
        <w:rPr>
          <w:sz w:val="22"/>
        </w:rPr>
        <w:t>due to the continuing lacklust</w:t>
      </w:r>
      <w:r w:rsidR="008C5742">
        <w:rPr>
          <w:sz w:val="22"/>
        </w:rPr>
        <w:t>er</w:t>
      </w:r>
      <w:r w:rsidR="00216084">
        <w:rPr>
          <w:sz w:val="22"/>
        </w:rPr>
        <w:t xml:space="preserve"> and uncertainties in </w:t>
      </w:r>
      <w:r w:rsidR="004D7B22">
        <w:rPr>
          <w:sz w:val="22"/>
        </w:rPr>
        <w:t>the current economic climate</w:t>
      </w:r>
      <w:r w:rsidR="008C5742">
        <w:rPr>
          <w:sz w:val="22"/>
        </w:rPr>
        <w:t xml:space="preserve">. However, </w:t>
      </w:r>
      <w:r w:rsidR="004D7B22">
        <w:rPr>
          <w:sz w:val="22"/>
        </w:rPr>
        <w:t xml:space="preserve">the </w:t>
      </w:r>
      <w:r w:rsidR="00216084">
        <w:rPr>
          <w:sz w:val="22"/>
        </w:rPr>
        <w:t>M</w:t>
      </w:r>
      <w:r w:rsidR="008C5742">
        <w:rPr>
          <w:sz w:val="22"/>
        </w:rPr>
        <w:t xml:space="preserve">anagement </w:t>
      </w:r>
      <w:r w:rsidR="00E2357F">
        <w:rPr>
          <w:sz w:val="22"/>
        </w:rPr>
        <w:t xml:space="preserve">will in their best effort </w:t>
      </w:r>
      <w:r w:rsidR="0002356A">
        <w:rPr>
          <w:sz w:val="22"/>
        </w:rPr>
        <w:t>endeavor face the challenging market conditions</w:t>
      </w:r>
      <w:r w:rsidR="00E2357F">
        <w:rPr>
          <w:sz w:val="22"/>
        </w:rPr>
        <w:t xml:space="preserve"> during these trying times</w:t>
      </w:r>
      <w:r w:rsidR="0002356A">
        <w:rPr>
          <w:sz w:val="22"/>
        </w:rPr>
        <w:t>.</w:t>
      </w:r>
      <w:r>
        <w:rPr>
          <w:sz w:val="22"/>
        </w:rPr>
        <w:t xml:space="preserve"> </w:t>
      </w:r>
    </w:p>
    <w:p w:rsidR="001C04B0" w:rsidRDefault="001C04B0">
      <w:pPr>
        <w:ind w:left="720" w:hanging="720"/>
        <w:jc w:val="both"/>
        <w:rPr>
          <w:sz w:val="22"/>
        </w:rPr>
      </w:pPr>
    </w:p>
    <w:p w:rsidR="00C712DA" w:rsidRDefault="00C712DA">
      <w:pPr>
        <w:ind w:left="720" w:hanging="720"/>
        <w:jc w:val="both"/>
        <w:rPr>
          <w:b/>
          <w:bCs/>
          <w:sz w:val="22"/>
        </w:rPr>
      </w:pPr>
    </w:p>
    <w:p w:rsidR="00143AF2" w:rsidRDefault="00143AF2">
      <w:pPr>
        <w:ind w:left="720" w:hanging="720"/>
        <w:jc w:val="both"/>
        <w:rPr>
          <w:b/>
          <w:bCs/>
          <w:sz w:val="22"/>
        </w:rPr>
      </w:pPr>
      <w:r>
        <w:rPr>
          <w:b/>
          <w:bCs/>
          <w:sz w:val="22"/>
        </w:rPr>
        <w:t>B4.</w:t>
      </w:r>
      <w:r>
        <w:rPr>
          <w:b/>
          <w:bCs/>
          <w:sz w:val="22"/>
        </w:rPr>
        <w:tab/>
        <w:t>Variance of actual profit from forecast profit</w:t>
      </w:r>
    </w:p>
    <w:p w:rsidR="00143AF2" w:rsidRDefault="00143AF2">
      <w:pPr>
        <w:ind w:left="720"/>
        <w:jc w:val="both"/>
        <w:rPr>
          <w:sz w:val="22"/>
        </w:rPr>
      </w:pPr>
    </w:p>
    <w:p w:rsidR="00143AF2" w:rsidRDefault="00143AF2">
      <w:pPr>
        <w:jc w:val="both"/>
        <w:rPr>
          <w:bCs/>
          <w:sz w:val="22"/>
        </w:rPr>
      </w:pPr>
      <w:r>
        <w:rPr>
          <w:b/>
          <w:sz w:val="22"/>
        </w:rPr>
        <w:tab/>
      </w:r>
      <w:r>
        <w:rPr>
          <w:bCs/>
          <w:sz w:val="22"/>
        </w:rPr>
        <w:t>No profit guarantee and profit forecast is required.</w:t>
      </w:r>
    </w:p>
    <w:p w:rsidR="007574E1" w:rsidRDefault="007574E1">
      <w:pPr>
        <w:ind w:left="720" w:hanging="720"/>
        <w:jc w:val="both"/>
        <w:rPr>
          <w:b/>
          <w:sz w:val="22"/>
        </w:rPr>
      </w:pPr>
    </w:p>
    <w:p w:rsidR="00E2357F" w:rsidRDefault="00E2357F">
      <w:pPr>
        <w:ind w:left="720" w:hanging="720"/>
        <w:jc w:val="both"/>
        <w:rPr>
          <w:b/>
          <w:sz w:val="22"/>
        </w:rPr>
      </w:pPr>
    </w:p>
    <w:p w:rsidR="00143AF2" w:rsidRDefault="00143AF2">
      <w:pPr>
        <w:ind w:left="720" w:hanging="720"/>
        <w:jc w:val="both"/>
        <w:rPr>
          <w:b/>
          <w:sz w:val="22"/>
        </w:rPr>
      </w:pPr>
      <w:r>
        <w:rPr>
          <w:b/>
          <w:sz w:val="22"/>
        </w:rPr>
        <w:t>B5.</w:t>
      </w:r>
      <w:r>
        <w:rPr>
          <w:sz w:val="22"/>
        </w:rPr>
        <w:tab/>
      </w:r>
      <w:r>
        <w:rPr>
          <w:b/>
          <w:sz w:val="22"/>
        </w:rPr>
        <w:t>Taxation</w:t>
      </w:r>
    </w:p>
    <w:tbl>
      <w:tblPr>
        <w:tblW w:w="8208" w:type="dxa"/>
        <w:tblInd w:w="720" w:type="dxa"/>
        <w:tblLook w:val="0000"/>
      </w:tblPr>
      <w:tblGrid>
        <w:gridCol w:w="4788"/>
        <w:gridCol w:w="1800"/>
        <w:gridCol w:w="1620"/>
      </w:tblGrid>
      <w:tr w:rsidR="00143AF2">
        <w:tc>
          <w:tcPr>
            <w:tcW w:w="4788" w:type="dxa"/>
          </w:tcPr>
          <w:p w:rsidR="00143AF2" w:rsidRDefault="00143AF2">
            <w:pPr>
              <w:jc w:val="both"/>
              <w:rPr>
                <w:b/>
                <w:sz w:val="22"/>
              </w:rPr>
            </w:pPr>
          </w:p>
        </w:tc>
        <w:tc>
          <w:tcPr>
            <w:tcW w:w="1800" w:type="dxa"/>
          </w:tcPr>
          <w:p w:rsidR="00143AF2" w:rsidRDefault="00143AF2">
            <w:pPr>
              <w:jc w:val="center"/>
              <w:rPr>
                <w:b/>
                <w:sz w:val="22"/>
              </w:rPr>
            </w:pPr>
            <w:r>
              <w:rPr>
                <w:b/>
                <w:sz w:val="22"/>
              </w:rPr>
              <w:t>Current Quarter</w:t>
            </w:r>
          </w:p>
          <w:p w:rsidR="00143AF2" w:rsidRDefault="00143AF2">
            <w:pPr>
              <w:jc w:val="center"/>
              <w:rPr>
                <w:b/>
                <w:sz w:val="22"/>
              </w:rPr>
            </w:pPr>
            <w:r>
              <w:rPr>
                <w:b/>
                <w:sz w:val="22"/>
              </w:rPr>
              <w:t>ended</w:t>
            </w:r>
          </w:p>
          <w:p w:rsidR="00143AF2" w:rsidRDefault="00485D78" w:rsidP="004175C5">
            <w:pPr>
              <w:jc w:val="center"/>
              <w:rPr>
                <w:b/>
                <w:sz w:val="22"/>
              </w:rPr>
            </w:pPr>
            <w:r>
              <w:rPr>
                <w:b/>
                <w:sz w:val="22"/>
              </w:rPr>
              <w:t>3</w:t>
            </w:r>
            <w:r w:rsidR="00CE2BD9">
              <w:rPr>
                <w:b/>
                <w:sz w:val="22"/>
              </w:rPr>
              <w:t>1</w:t>
            </w:r>
            <w:r w:rsidR="00E5086A">
              <w:rPr>
                <w:b/>
                <w:sz w:val="22"/>
              </w:rPr>
              <w:t>.3.2013</w:t>
            </w:r>
          </w:p>
          <w:p w:rsidR="00143AF2" w:rsidRDefault="00143AF2">
            <w:pPr>
              <w:jc w:val="center"/>
              <w:rPr>
                <w:b/>
                <w:sz w:val="22"/>
              </w:rPr>
            </w:pPr>
            <w:r>
              <w:rPr>
                <w:b/>
                <w:sz w:val="22"/>
              </w:rPr>
              <w:t>RM’000</w:t>
            </w:r>
          </w:p>
        </w:tc>
        <w:tc>
          <w:tcPr>
            <w:tcW w:w="1620" w:type="dxa"/>
          </w:tcPr>
          <w:p w:rsidR="00143AF2" w:rsidRDefault="00E5086A" w:rsidP="00B87C84">
            <w:pPr>
              <w:rPr>
                <w:b/>
                <w:sz w:val="22"/>
              </w:rPr>
            </w:pPr>
            <w:r>
              <w:rPr>
                <w:b/>
                <w:sz w:val="22"/>
              </w:rPr>
              <w:t xml:space="preserve">    6</w:t>
            </w:r>
            <w:r w:rsidR="00143AF2">
              <w:rPr>
                <w:b/>
                <w:sz w:val="22"/>
              </w:rPr>
              <w:t xml:space="preserve"> months</w:t>
            </w:r>
          </w:p>
          <w:p w:rsidR="00143AF2" w:rsidRDefault="00143AF2">
            <w:pPr>
              <w:jc w:val="center"/>
              <w:rPr>
                <w:b/>
                <w:sz w:val="22"/>
              </w:rPr>
            </w:pPr>
            <w:r>
              <w:rPr>
                <w:b/>
                <w:sz w:val="22"/>
              </w:rPr>
              <w:t>Cumulative</w:t>
            </w:r>
          </w:p>
          <w:p w:rsidR="00143AF2" w:rsidRDefault="00143AF2">
            <w:pPr>
              <w:jc w:val="center"/>
              <w:rPr>
                <w:b/>
                <w:sz w:val="22"/>
              </w:rPr>
            </w:pPr>
            <w:r>
              <w:rPr>
                <w:b/>
                <w:sz w:val="22"/>
              </w:rPr>
              <w:t xml:space="preserve"> to</w:t>
            </w:r>
          </w:p>
          <w:p w:rsidR="00143AF2" w:rsidRDefault="009E3E10" w:rsidP="004175C5">
            <w:pPr>
              <w:jc w:val="center"/>
              <w:rPr>
                <w:b/>
                <w:sz w:val="22"/>
              </w:rPr>
            </w:pPr>
            <w:r>
              <w:rPr>
                <w:b/>
                <w:sz w:val="22"/>
              </w:rPr>
              <w:t xml:space="preserve"> 3</w:t>
            </w:r>
            <w:r w:rsidR="00CE2BD9">
              <w:rPr>
                <w:b/>
                <w:sz w:val="22"/>
              </w:rPr>
              <w:t>1</w:t>
            </w:r>
            <w:r>
              <w:rPr>
                <w:b/>
                <w:sz w:val="22"/>
              </w:rPr>
              <w:t>.</w:t>
            </w:r>
            <w:r w:rsidR="00D24C57">
              <w:rPr>
                <w:b/>
                <w:sz w:val="22"/>
              </w:rPr>
              <w:t>3.2013</w:t>
            </w:r>
          </w:p>
          <w:p w:rsidR="00143AF2" w:rsidRDefault="00143AF2">
            <w:pPr>
              <w:jc w:val="center"/>
              <w:rPr>
                <w:b/>
                <w:sz w:val="22"/>
              </w:rPr>
            </w:pPr>
            <w:r>
              <w:rPr>
                <w:b/>
                <w:sz w:val="22"/>
              </w:rPr>
              <w:t>RM’000</w:t>
            </w:r>
          </w:p>
        </w:tc>
      </w:tr>
      <w:tr w:rsidR="00143AF2">
        <w:tc>
          <w:tcPr>
            <w:tcW w:w="4788" w:type="dxa"/>
          </w:tcPr>
          <w:p w:rsidR="00143AF2" w:rsidRDefault="00143AF2">
            <w:pPr>
              <w:jc w:val="both"/>
              <w:rPr>
                <w:bCs/>
                <w:sz w:val="22"/>
              </w:rPr>
            </w:pPr>
            <w:r>
              <w:rPr>
                <w:bCs/>
                <w:sz w:val="22"/>
              </w:rPr>
              <w:t>Current tax expenses</w:t>
            </w:r>
          </w:p>
        </w:tc>
        <w:tc>
          <w:tcPr>
            <w:tcW w:w="1800" w:type="dxa"/>
          </w:tcPr>
          <w:p w:rsidR="00143AF2" w:rsidRDefault="000A4458" w:rsidP="000A4458">
            <w:pPr>
              <w:ind w:right="440"/>
              <w:jc w:val="center"/>
              <w:rPr>
                <w:bCs/>
                <w:sz w:val="22"/>
              </w:rPr>
            </w:pPr>
            <w:r>
              <w:rPr>
                <w:bCs/>
                <w:sz w:val="22"/>
              </w:rPr>
              <w:t xml:space="preserve">  </w:t>
            </w:r>
            <w:r w:rsidR="00D24C57">
              <w:rPr>
                <w:bCs/>
                <w:sz w:val="22"/>
              </w:rPr>
              <w:t>65</w:t>
            </w:r>
            <w:r>
              <w:rPr>
                <w:bCs/>
                <w:sz w:val="22"/>
              </w:rPr>
              <w:t xml:space="preserve">    </w:t>
            </w:r>
          </w:p>
        </w:tc>
        <w:tc>
          <w:tcPr>
            <w:tcW w:w="1620" w:type="dxa"/>
          </w:tcPr>
          <w:p w:rsidR="00143AF2" w:rsidRDefault="000A4458" w:rsidP="000A4458">
            <w:pPr>
              <w:ind w:right="440"/>
              <w:jc w:val="center"/>
              <w:rPr>
                <w:bCs/>
                <w:sz w:val="22"/>
              </w:rPr>
            </w:pPr>
            <w:r>
              <w:rPr>
                <w:bCs/>
                <w:sz w:val="22"/>
              </w:rPr>
              <w:t xml:space="preserve">    </w:t>
            </w:r>
            <w:r w:rsidR="00D24C57">
              <w:rPr>
                <w:bCs/>
                <w:sz w:val="22"/>
              </w:rPr>
              <w:t xml:space="preserve">    121</w:t>
            </w:r>
            <w:r>
              <w:rPr>
                <w:bCs/>
                <w:sz w:val="22"/>
              </w:rPr>
              <w:t xml:space="preserve">    </w:t>
            </w:r>
            <w:r w:rsidR="0075753C">
              <w:rPr>
                <w:bCs/>
                <w:sz w:val="22"/>
              </w:rPr>
              <w:t xml:space="preserve"> </w:t>
            </w:r>
          </w:p>
        </w:tc>
      </w:tr>
      <w:tr w:rsidR="00143AF2">
        <w:tc>
          <w:tcPr>
            <w:tcW w:w="4788" w:type="dxa"/>
          </w:tcPr>
          <w:p w:rsidR="00143AF2" w:rsidRDefault="00143AF2">
            <w:pPr>
              <w:jc w:val="both"/>
              <w:rPr>
                <w:bCs/>
                <w:sz w:val="22"/>
              </w:rPr>
            </w:pPr>
            <w:r>
              <w:rPr>
                <w:bCs/>
                <w:sz w:val="22"/>
              </w:rPr>
              <w:t>Deferred tax expenses</w:t>
            </w:r>
          </w:p>
        </w:tc>
        <w:tc>
          <w:tcPr>
            <w:tcW w:w="1800" w:type="dxa"/>
          </w:tcPr>
          <w:p w:rsidR="00143AF2" w:rsidRDefault="005F1F97" w:rsidP="000A4458">
            <w:pPr>
              <w:ind w:right="440"/>
              <w:rPr>
                <w:bCs/>
                <w:sz w:val="22"/>
              </w:rPr>
            </w:pPr>
            <w:r>
              <w:rPr>
                <w:bCs/>
                <w:sz w:val="22"/>
              </w:rPr>
              <w:t xml:space="preserve">        </w:t>
            </w:r>
            <w:r w:rsidR="00CE2BD9">
              <w:rPr>
                <w:bCs/>
                <w:sz w:val="22"/>
              </w:rPr>
              <w:t xml:space="preserve">    -</w:t>
            </w:r>
          </w:p>
        </w:tc>
        <w:tc>
          <w:tcPr>
            <w:tcW w:w="1620" w:type="dxa"/>
          </w:tcPr>
          <w:p w:rsidR="00143AF2" w:rsidRDefault="000A4458" w:rsidP="000A4458">
            <w:pPr>
              <w:ind w:right="440"/>
              <w:jc w:val="center"/>
              <w:rPr>
                <w:bCs/>
                <w:sz w:val="22"/>
              </w:rPr>
            </w:pPr>
            <w:r>
              <w:rPr>
                <w:bCs/>
                <w:sz w:val="22"/>
              </w:rPr>
              <w:t xml:space="preserve">  </w:t>
            </w:r>
            <w:r w:rsidR="00CE2BD9">
              <w:rPr>
                <w:bCs/>
                <w:sz w:val="22"/>
              </w:rPr>
              <w:t xml:space="preserve">      -</w:t>
            </w:r>
            <w:r>
              <w:rPr>
                <w:bCs/>
                <w:sz w:val="22"/>
              </w:rPr>
              <w:t xml:space="preserve">     </w:t>
            </w:r>
          </w:p>
        </w:tc>
      </w:tr>
      <w:tr w:rsidR="00143AF2">
        <w:tc>
          <w:tcPr>
            <w:tcW w:w="4788" w:type="dxa"/>
          </w:tcPr>
          <w:p w:rsidR="00143AF2" w:rsidRDefault="00143AF2">
            <w:pPr>
              <w:jc w:val="both"/>
              <w:rPr>
                <w:bCs/>
                <w:sz w:val="22"/>
              </w:rPr>
            </w:pPr>
          </w:p>
        </w:tc>
        <w:tc>
          <w:tcPr>
            <w:tcW w:w="1800" w:type="dxa"/>
            <w:tcBorders>
              <w:bottom w:val="single" w:sz="4" w:space="0" w:color="auto"/>
            </w:tcBorders>
          </w:tcPr>
          <w:p w:rsidR="00143AF2" w:rsidRDefault="00143AF2">
            <w:pPr>
              <w:jc w:val="right"/>
              <w:rPr>
                <w:bCs/>
                <w:sz w:val="22"/>
              </w:rPr>
            </w:pPr>
          </w:p>
        </w:tc>
        <w:tc>
          <w:tcPr>
            <w:tcW w:w="1620" w:type="dxa"/>
            <w:tcBorders>
              <w:bottom w:val="single" w:sz="4" w:space="0" w:color="auto"/>
            </w:tcBorders>
          </w:tcPr>
          <w:p w:rsidR="00143AF2" w:rsidRDefault="00143AF2">
            <w:pPr>
              <w:jc w:val="right"/>
              <w:rPr>
                <w:bCs/>
                <w:sz w:val="22"/>
              </w:rPr>
            </w:pPr>
          </w:p>
        </w:tc>
      </w:tr>
      <w:tr w:rsidR="00143AF2">
        <w:tc>
          <w:tcPr>
            <w:tcW w:w="4788" w:type="dxa"/>
          </w:tcPr>
          <w:p w:rsidR="00143AF2" w:rsidRDefault="00143AF2">
            <w:pPr>
              <w:jc w:val="both"/>
              <w:rPr>
                <w:b/>
                <w:sz w:val="22"/>
              </w:rPr>
            </w:pPr>
          </w:p>
        </w:tc>
        <w:tc>
          <w:tcPr>
            <w:tcW w:w="1800" w:type="dxa"/>
            <w:tcBorders>
              <w:top w:val="single" w:sz="4" w:space="0" w:color="auto"/>
              <w:bottom w:val="double" w:sz="4" w:space="0" w:color="auto"/>
            </w:tcBorders>
          </w:tcPr>
          <w:p w:rsidR="00143AF2" w:rsidRDefault="00D24C57" w:rsidP="000A4458">
            <w:pPr>
              <w:ind w:right="770"/>
              <w:jc w:val="right"/>
              <w:rPr>
                <w:bCs/>
                <w:sz w:val="22"/>
              </w:rPr>
            </w:pPr>
            <w:r>
              <w:rPr>
                <w:bCs/>
                <w:sz w:val="22"/>
              </w:rPr>
              <w:t>65</w:t>
            </w:r>
            <w:r w:rsidR="000A4458">
              <w:rPr>
                <w:bCs/>
                <w:sz w:val="22"/>
              </w:rPr>
              <w:t xml:space="preserve">  </w:t>
            </w:r>
            <w:r w:rsidR="00CF2E29">
              <w:rPr>
                <w:bCs/>
                <w:sz w:val="22"/>
              </w:rPr>
              <w:t xml:space="preserve"> </w:t>
            </w:r>
            <w:r w:rsidR="000A4458">
              <w:rPr>
                <w:bCs/>
                <w:sz w:val="22"/>
              </w:rPr>
              <w:t xml:space="preserve">    </w:t>
            </w:r>
            <w:r w:rsidR="00E54C68">
              <w:rPr>
                <w:bCs/>
                <w:sz w:val="22"/>
              </w:rPr>
              <w:t xml:space="preserve"> </w:t>
            </w:r>
          </w:p>
        </w:tc>
        <w:tc>
          <w:tcPr>
            <w:tcW w:w="1620" w:type="dxa"/>
            <w:tcBorders>
              <w:top w:val="single" w:sz="4" w:space="0" w:color="auto"/>
              <w:bottom w:val="double" w:sz="4" w:space="0" w:color="auto"/>
            </w:tcBorders>
          </w:tcPr>
          <w:p w:rsidR="00143AF2" w:rsidRDefault="000A4458" w:rsidP="000A4458">
            <w:pPr>
              <w:ind w:right="440"/>
              <w:rPr>
                <w:bCs/>
                <w:sz w:val="22"/>
              </w:rPr>
            </w:pPr>
            <w:r>
              <w:rPr>
                <w:bCs/>
                <w:sz w:val="22"/>
              </w:rPr>
              <w:t xml:space="preserve">        </w:t>
            </w:r>
            <w:r w:rsidR="005F1F97">
              <w:rPr>
                <w:bCs/>
                <w:sz w:val="22"/>
              </w:rPr>
              <w:t xml:space="preserve"> </w:t>
            </w:r>
            <w:r w:rsidR="00D24C57">
              <w:rPr>
                <w:bCs/>
                <w:sz w:val="22"/>
              </w:rPr>
              <w:t>121</w:t>
            </w:r>
          </w:p>
        </w:tc>
      </w:tr>
      <w:tr w:rsidR="00143AF2">
        <w:tc>
          <w:tcPr>
            <w:tcW w:w="4788" w:type="dxa"/>
          </w:tcPr>
          <w:p w:rsidR="00143AF2" w:rsidRDefault="00143AF2">
            <w:pPr>
              <w:jc w:val="both"/>
              <w:rPr>
                <w:b/>
                <w:sz w:val="22"/>
              </w:rPr>
            </w:pPr>
          </w:p>
        </w:tc>
        <w:tc>
          <w:tcPr>
            <w:tcW w:w="1800" w:type="dxa"/>
            <w:tcBorders>
              <w:top w:val="double" w:sz="4" w:space="0" w:color="auto"/>
            </w:tcBorders>
          </w:tcPr>
          <w:p w:rsidR="00143AF2" w:rsidRDefault="00143AF2">
            <w:pPr>
              <w:jc w:val="both"/>
              <w:rPr>
                <w:b/>
                <w:sz w:val="22"/>
              </w:rPr>
            </w:pPr>
          </w:p>
        </w:tc>
        <w:tc>
          <w:tcPr>
            <w:tcW w:w="1620" w:type="dxa"/>
            <w:tcBorders>
              <w:top w:val="double" w:sz="4" w:space="0" w:color="auto"/>
            </w:tcBorders>
          </w:tcPr>
          <w:p w:rsidR="00143AF2" w:rsidRDefault="00143AF2">
            <w:pPr>
              <w:jc w:val="both"/>
              <w:rPr>
                <w:b/>
                <w:sz w:val="22"/>
              </w:rPr>
            </w:pPr>
          </w:p>
        </w:tc>
      </w:tr>
    </w:tbl>
    <w:p w:rsidR="00143AF2" w:rsidRDefault="00143AF2">
      <w:pPr>
        <w:ind w:left="720"/>
        <w:jc w:val="both"/>
        <w:outlineLvl w:val="0"/>
        <w:rPr>
          <w:sz w:val="22"/>
        </w:rPr>
      </w:pPr>
    </w:p>
    <w:p w:rsidR="00D3284C" w:rsidRDefault="00D3284C">
      <w:pPr>
        <w:jc w:val="both"/>
        <w:outlineLvl w:val="0"/>
        <w:rPr>
          <w:b/>
          <w:bCs/>
          <w:sz w:val="22"/>
        </w:rPr>
      </w:pPr>
    </w:p>
    <w:p w:rsidR="00D3284C" w:rsidRDefault="00D3284C">
      <w:pPr>
        <w:jc w:val="both"/>
        <w:outlineLvl w:val="0"/>
        <w:rPr>
          <w:b/>
          <w:bCs/>
          <w:sz w:val="22"/>
        </w:rPr>
      </w:pPr>
    </w:p>
    <w:p w:rsidR="00143AF2" w:rsidRPr="0055394B" w:rsidRDefault="00143AF2">
      <w:pPr>
        <w:jc w:val="both"/>
        <w:outlineLvl w:val="0"/>
        <w:rPr>
          <w:b/>
          <w:sz w:val="22"/>
        </w:rPr>
      </w:pPr>
      <w:r w:rsidRPr="0055394B">
        <w:rPr>
          <w:b/>
          <w:bCs/>
          <w:sz w:val="22"/>
        </w:rPr>
        <w:t>B6.</w:t>
      </w:r>
      <w:r w:rsidRPr="0055394B">
        <w:rPr>
          <w:b/>
          <w:bCs/>
          <w:sz w:val="22"/>
        </w:rPr>
        <w:tab/>
      </w:r>
      <w:r w:rsidRPr="0055394B">
        <w:rPr>
          <w:b/>
          <w:sz w:val="22"/>
        </w:rPr>
        <w:t>Profit or Loss from Sales of Unquoted Investments or Properties</w:t>
      </w:r>
    </w:p>
    <w:p w:rsidR="00143AF2" w:rsidRPr="0055394B" w:rsidRDefault="00143AF2">
      <w:pPr>
        <w:ind w:left="720" w:hanging="720"/>
        <w:jc w:val="both"/>
        <w:rPr>
          <w:sz w:val="22"/>
        </w:rPr>
      </w:pPr>
    </w:p>
    <w:p w:rsidR="00D52DDD" w:rsidRDefault="00143AF2" w:rsidP="00D52DDD">
      <w:pPr>
        <w:ind w:left="720" w:hanging="720"/>
        <w:jc w:val="both"/>
        <w:rPr>
          <w:sz w:val="22"/>
        </w:rPr>
      </w:pPr>
      <w:r w:rsidRPr="0055394B">
        <w:rPr>
          <w:sz w:val="22"/>
        </w:rPr>
        <w:tab/>
      </w:r>
      <w:r w:rsidR="00D52DDD">
        <w:rPr>
          <w:sz w:val="22"/>
        </w:rPr>
        <w:t>There were no sales of unquoted investment or properties for the Group.</w:t>
      </w:r>
    </w:p>
    <w:p w:rsidR="00143AF2" w:rsidRDefault="00143AF2">
      <w:pPr>
        <w:ind w:left="720" w:hanging="720"/>
        <w:jc w:val="both"/>
        <w:rPr>
          <w:sz w:val="22"/>
        </w:rPr>
      </w:pPr>
    </w:p>
    <w:p w:rsidR="0017417D" w:rsidRDefault="0017417D">
      <w:pPr>
        <w:ind w:left="720" w:hanging="720"/>
        <w:jc w:val="both"/>
        <w:rPr>
          <w:b/>
          <w:snapToGrid w:val="0"/>
          <w:color w:val="000000"/>
          <w:sz w:val="22"/>
          <w:szCs w:val="22"/>
        </w:rPr>
      </w:pPr>
    </w:p>
    <w:p w:rsidR="00143AF2" w:rsidRDefault="00143AF2">
      <w:pPr>
        <w:ind w:left="720" w:hanging="720"/>
        <w:jc w:val="both"/>
        <w:rPr>
          <w:b/>
          <w:snapToGrid w:val="0"/>
          <w:color w:val="000000"/>
          <w:sz w:val="22"/>
          <w:szCs w:val="22"/>
        </w:rPr>
      </w:pPr>
      <w:r>
        <w:rPr>
          <w:b/>
          <w:snapToGrid w:val="0"/>
          <w:color w:val="000000"/>
          <w:sz w:val="22"/>
          <w:szCs w:val="22"/>
        </w:rPr>
        <w:t>B7.</w:t>
      </w:r>
      <w:r>
        <w:rPr>
          <w:b/>
          <w:snapToGrid w:val="0"/>
          <w:color w:val="000000"/>
          <w:sz w:val="22"/>
          <w:szCs w:val="22"/>
        </w:rPr>
        <w:tab/>
        <w:t>Purchase or disposal of quoted securities</w:t>
      </w:r>
    </w:p>
    <w:p w:rsidR="00143AF2" w:rsidRDefault="00143AF2">
      <w:pPr>
        <w:ind w:left="720"/>
        <w:jc w:val="both"/>
        <w:rPr>
          <w:snapToGrid w:val="0"/>
          <w:color w:val="000000"/>
          <w:sz w:val="22"/>
          <w:szCs w:val="22"/>
        </w:rPr>
      </w:pPr>
    </w:p>
    <w:p w:rsidR="00143AF2" w:rsidRDefault="009B7474" w:rsidP="004F274C">
      <w:pPr>
        <w:ind w:left="720"/>
        <w:jc w:val="both"/>
        <w:outlineLvl w:val="0"/>
        <w:rPr>
          <w:snapToGrid w:val="0"/>
          <w:color w:val="000000"/>
          <w:sz w:val="22"/>
          <w:szCs w:val="22"/>
        </w:rPr>
      </w:pPr>
      <w:r>
        <w:rPr>
          <w:snapToGrid w:val="0"/>
          <w:color w:val="000000"/>
          <w:sz w:val="22"/>
          <w:szCs w:val="22"/>
        </w:rPr>
        <w:t>There is no purchase or disposal of quoted securities for the current quarter</w:t>
      </w:r>
      <w:r w:rsidR="00216084">
        <w:rPr>
          <w:snapToGrid w:val="0"/>
          <w:color w:val="000000"/>
          <w:sz w:val="22"/>
          <w:szCs w:val="22"/>
        </w:rPr>
        <w:t xml:space="preserve"> under review</w:t>
      </w:r>
      <w:r>
        <w:rPr>
          <w:snapToGrid w:val="0"/>
          <w:color w:val="000000"/>
          <w:sz w:val="22"/>
          <w:szCs w:val="22"/>
        </w:rPr>
        <w:t>.</w:t>
      </w:r>
    </w:p>
    <w:p w:rsidR="00143AF2" w:rsidRDefault="00143AF2">
      <w:pPr>
        <w:pStyle w:val="BodyText"/>
        <w:tabs>
          <w:tab w:val="clear" w:pos="257"/>
        </w:tabs>
        <w:ind w:left="720" w:hanging="720"/>
        <w:jc w:val="both"/>
        <w:rPr>
          <w:rFonts w:ascii="Times New Roman" w:hAnsi="Times New Roman"/>
          <w:szCs w:val="22"/>
        </w:rPr>
      </w:pPr>
    </w:p>
    <w:p w:rsidR="00143AF2" w:rsidRDefault="00143AF2">
      <w:pPr>
        <w:ind w:left="720" w:hanging="720"/>
        <w:jc w:val="both"/>
        <w:rPr>
          <w:snapToGrid w:val="0"/>
          <w:color w:val="000000"/>
          <w:sz w:val="22"/>
          <w:szCs w:val="22"/>
        </w:rPr>
      </w:pPr>
      <w:r>
        <w:rPr>
          <w:sz w:val="22"/>
          <w:szCs w:val="22"/>
        </w:rPr>
        <w:tab/>
      </w:r>
    </w:p>
    <w:p w:rsidR="00143AF2" w:rsidRDefault="00143AF2">
      <w:pPr>
        <w:ind w:left="720" w:hanging="720"/>
        <w:jc w:val="both"/>
        <w:rPr>
          <w:b/>
          <w:bCs/>
          <w:sz w:val="22"/>
        </w:rPr>
      </w:pPr>
      <w:r>
        <w:rPr>
          <w:b/>
          <w:bCs/>
          <w:sz w:val="22"/>
        </w:rPr>
        <w:t>B8.</w:t>
      </w:r>
      <w:r>
        <w:rPr>
          <w:b/>
          <w:bCs/>
          <w:sz w:val="22"/>
        </w:rPr>
        <w:tab/>
        <w:t>Corporate Proposal and Utilisation of Proceeds</w:t>
      </w:r>
    </w:p>
    <w:p w:rsidR="00143AF2" w:rsidRDefault="00143AF2">
      <w:pPr>
        <w:ind w:left="720" w:hanging="720"/>
        <w:jc w:val="both"/>
        <w:rPr>
          <w:b/>
          <w:bCs/>
          <w:sz w:val="22"/>
        </w:rPr>
      </w:pPr>
    </w:p>
    <w:p w:rsidR="00143AF2" w:rsidRDefault="00143AF2">
      <w:pPr>
        <w:ind w:left="720"/>
        <w:jc w:val="both"/>
        <w:rPr>
          <w:sz w:val="22"/>
        </w:rPr>
      </w:pPr>
      <w:r>
        <w:rPr>
          <w:sz w:val="22"/>
        </w:rPr>
        <w:t>The Group has not announced any corporate proposal for the period under review.</w:t>
      </w:r>
    </w:p>
    <w:p w:rsidR="00143AF2" w:rsidRDefault="00143AF2">
      <w:pPr>
        <w:pStyle w:val="Heading5"/>
        <w:ind w:hanging="720"/>
      </w:pPr>
    </w:p>
    <w:p w:rsidR="00143AF2" w:rsidRDefault="00143AF2"/>
    <w:p w:rsidR="00FC6386" w:rsidRDefault="00FC6386"/>
    <w:p w:rsidR="00E01504" w:rsidRDefault="00E01504"/>
    <w:p w:rsidR="00585F33" w:rsidRDefault="00585F33"/>
    <w:p w:rsidR="00585F33" w:rsidRDefault="00585F33"/>
    <w:p w:rsidR="00585F33" w:rsidRDefault="00585F33"/>
    <w:p w:rsidR="00585F33" w:rsidRDefault="00585F33"/>
    <w:p w:rsidR="00585F33" w:rsidRDefault="00585F33"/>
    <w:p w:rsidR="00E01504" w:rsidRDefault="00E01504"/>
    <w:p w:rsidR="00E01504" w:rsidRDefault="00E01504"/>
    <w:p w:rsidR="00E01504" w:rsidRDefault="00E01504"/>
    <w:p w:rsidR="00E01504" w:rsidRDefault="00E01504"/>
    <w:p w:rsidR="00E01504" w:rsidRDefault="00E01504"/>
    <w:p w:rsidR="00E01504" w:rsidRDefault="00E01504"/>
    <w:p w:rsidR="00E01504" w:rsidRDefault="00E01504">
      <w:pPr>
        <w:pStyle w:val="Heading5"/>
        <w:ind w:hanging="720"/>
      </w:pPr>
    </w:p>
    <w:p w:rsidR="00143AF2" w:rsidRDefault="00143AF2">
      <w:pPr>
        <w:pStyle w:val="Heading5"/>
        <w:ind w:hanging="720"/>
      </w:pPr>
      <w:r>
        <w:t>B9.</w:t>
      </w:r>
      <w:r>
        <w:tab/>
        <w:t>Group Borrowings and Debt Securities</w:t>
      </w:r>
    </w:p>
    <w:p w:rsidR="00585F33" w:rsidRPr="00585F33" w:rsidRDefault="00585F33" w:rsidP="00585F33"/>
    <w:p w:rsidR="00143AF2" w:rsidRDefault="00143AF2" w:rsidP="00B55F68">
      <w:pPr>
        <w:rPr>
          <w:sz w:val="22"/>
        </w:rPr>
      </w:pPr>
      <w:r>
        <w:tab/>
      </w:r>
      <w:r>
        <w:rPr>
          <w:sz w:val="22"/>
        </w:rPr>
        <w:t xml:space="preserve">The total </w:t>
      </w:r>
      <w:r w:rsidR="008B0690">
        <w:rPr>
          <w:sz w:val="22"/>
        </w:rPr>
        <w:t xml:space="preserve">Group’s borrowings as </w:t>
      </w:r>
      <w:r w:rsidR="00485D78">
        <w:rPr>
          <w:sz w:val="22"/>
        </w:rPr>
        <w:t>at 3</w:t>
      </w:r>
      <w:r w:rsidR="00E5086A">
        <w:rPr>
          <w:sz w:val="22"/>
        </w:rPr>
        <w:t xml:space="preserve">1 March </w:t>
      </w:r>
      <w:r w:rsidR="00EF5CC0">
        <w:rPr>
          <w:sz w:val="22"/>
        </w:rPr>
        <w:t>201</w:t>
      </w:r>
      <w:r w:rsidR="00E5086A">
        <w:rPr>
          <w:sz w:val="22"/>
        </w:rPr>
        <w:t>3</w:t>
      </w:r>
      <w:r>
        <w:rPr>
          <w:sz w:val="22"/>
        </w:rPr>
        <w:t xml:space="preserve"> are as follows :-</w:t>
      </w:r>
    </w:p>
    <w:tbl>
      <w:tblPr>
        <w:tblW w:w="6660" w:type="dxa"/>
        <w:tblInd w:w="828" w:type="dxa"/>
        <w:tblLook w:val="0000"/>
      </w:tblPr>
      <w:tblGrid>
        <w:gridCol w:w="2464"/>
        <w:gridCol w:w="1433"/>
        <w:gridCol w:w="1323"/>
        <w:gridCol w:w="1440"/>
      </w:tblGrid>
      <w:tr w:rsidR="00143AF2">
        <w:tc>
          <w:tcPr>
            <w:tcW w:w="2464" w:type="dxa"/>
            <w:vAlign w:val="bottom"/>
          </w:tcPr>
          <w:p w:rsidR="00143AF2" w:rsidRDefault="00143AF2" w:rsidP="00174836">
            <w:pPr>
              <w:ind w:firstLine="72"/>
              <w:jc w:val="both"/>
              <w:rPr>
                <w:sz w:val="22"/>
              </w:rPr>
            </w:pPr>
            <w:r>
              <w:rPr>
                <w:sz w:val="22"/>
              </w:rPr>
              <w:tab/>
            </w:r>
          </w:p>
          <w:p w:rsidR="00143AF2" w:rsidRDefault="00143AF2" w:rsidP="00174836">
            <w:pPr>
              <w:ind w:firstLine="72"/>
              <w:jc w:val="both"/>
              <w:rPr>
                <w:sz w:val="22"/>
              </w:rPr>
            </w:pPr>
          </w:p>
          <w:p w:rsidR="00143AF2" w:rsidRDefault="00143AF2" w:rsidP="00174836">
            <w:pPr>
              <w:ind w:firstLine="72"/>
              <w:jc w:val="both"/>
              <w:rPr>
                <w:sz w:val="22"/>
              </w:rPr>
            </w:pPr>
          </w:p>
          <w:p w:rsidR="00143AF2" w:rsidRDefault="00143AF2" w:rsidP="00174836">
            <w:pPr>
              <w:ind w:firstLine="72"/>
              <w:jc w:val="both"/>
              <w:rPr>
                <w:sz w:val="22"/>
              </w:rPr>
            </w:pPr>
          </w:p>
          <w:p w:rsidR="00143AF2" w:rsidRDefault="00143AF2" w:rsidP="00174836">
            <w:pPr>
              <w:ind w:firstLine="72"/>
              <w:jc w:val="both"/>
              <w:rPr>
                <w:sz w:val="22"/>
              </w:rPr>
            </w:pPr>
          </w:p>
          <w:p w:rsidR="00143AF2" w:rsidRDefault="00143AF2" w:rsidP="00174836">
            <w:pPr>
              <w:ind w:firstLine="72"/>
              <w:jc w:val="both"/>
              <w:rPr>
                <w:sz w:val="22"/>
              </w:rPr>
            </w:pPr>
          </w:p>
          <w:p w:rsidR="00143AF2" w:rsidRDefault="00143AF2" w:rsidP="007A2B38">
            <w:pPr>
              <w:ind w:leftChars="-54" w:hangingChars="54" w:hanging="108"/>
              <w:jc w:val="both"/>
            </w:pPr>
            <w:r>
              <w:t>Secured :-</w:t>
            </w:r>
          </w:p>
          <w:p w:rsidR="00143AF2" w:rsidRDefault="00143AF2" w:rsidP="00174836">
            <w:pPr>
              <w:ind w:firstLine="72"/>
              <w:jc w:val="both"/>
            </w:pPr>
            <w:r>
              <w:t xml:space="preserve"> Bank Overdrafts </w:t>
            </w:r>
          </w:p>
        </w:tc>
        <w:tc>
          <w:tcPr>
            <w:tcW w:w="1433" w:type="dxa"/>
          </w:tcPr>
          <w:p w:rsidR="00143AF2" w:rsidRDefault="00143AF2">
            <w:pPr>
              <w:jc w:val="right"/>
              <w:rPr>
                <w:b/>
                <w:bCs/>
              </w:rPr>
            </w:pPr>
          </w:p>
          <w:p w:rsidR="00143AF2" w:rsidRDefault="00143AF2">
            <w:pPr>
              <w:jc w:val="right"/>
              <w:rPr>
                <w:b/>
                <w:bCs/>
              </w:rPr>
            </w:pPr>
            <w:r>
              <w:rPr>
                <w:b/>
                <w:bCs/>
              </w:rPr>
              <w:t>Short Term</w:t>
            </w:r>
          </w:p>
          <w:p w:rsidR="00143AF2" w:rsidRDefault="00143AF2">
            <w:pPr>
              <w:jc w:val="right"/>
              <w:rPr>
                <w:b/>
                <w:bCs/>
              </w:rPr>
            </w:pPr>
            <w:r>
              <w:rPr>
                <w:b/>
                <w:bCs/>
              </w:rPr>
              <w:t>Borrowings</w:t>
            </w:r>
          </w:p>
          <w:p w:rsidR="00143AF2" w:rsidRDefault="00143AF2">
            <w:pPr>
              <w:jc w:val="right"/>
              <w:rPr>
                <w:b/>
                <w:bCs/>
              </w:rPr>
            </w:pPr>
            <w:r>
              <w:rPr>
                <w:b/>
                <w:bCs/>
              </w:rPr>
              <w:t>(Less than 12</w:t>
            </w:r>
          </w:p>
          <w:p w:rsidR="00143AF2" w:rsidRDefault="00143AF2">
            <w:pPr>
              <w:jc w:val="right"/>
              <w:rPr>
                <w:b/>
                <w:bCs/>
              </w:rPr>
            </w:pPr>
            <w:r>
              <w:rPr>
                <w:b/>
                <w:bCs/>
              </w:rPr>
              <w:t>months)</w:t>
            </w:r>
          </w:p>
          <w:p w:rsidR="00143AF2" w:rsidRDefault="00143AF2">
            <w:pPr>
              <w:pStyle w:val="StyleRight"/>
            </w:pPr>
          </w:p>
          <w:p w:rsidR="00143AF2" w:rsidRDefault="00143AF2">
            <w:pPr>
              <w:pStyle w:val="StyleRight"/>
            </w:pPr>
            <w:r>
              <w:t>RM`000</w:t>
            </w:r>
          </w:p>
          <w:p w:rsidR="00143AF2" w:rsidRDefault="00143AF2">
            <w:pPr>
              <w:jc w:val="center"/>
            </w:pPr>
          </w:p>
          <w:p w:rsidR="00143AF2" w:rsidRDefault="00E5086A">
            <w:pPr>
              <w:pStyle w:val="Footer"/>
              <w:tabs>
                <w:tab w:val="clear" w:pos="4320"/>
                <w:tab w:val="clear" w:pos="8640"/>
              </w:tabs>
              <w:jc w:val="right"/>
            </w:pPr>
            <w:r>
              <w:t>4</w:t>
            </w:r>
            <w:r w:rsidR="00C712DA">
              <w:t>,</w:t>
            </w:r>
            <w:r>
              <w:t>769</w:t>
            </w:r>
          </w:p>
        </w:tc>
        <w:tc>
          <w:tcPr>
            <w:tcW w:w="1323" w:type="dxa"/>
          </w:tcPr>
          <w:p w:rsidR="00143AF2" w:rsidRDefault="00143AF2">
            <w:pPr>
              <w:pStyle w:val="Footer"/>
              <w:tabs>
                <w:tab w:val="clear" w:pos="4320"/>
                <w:tab w:val="clear" w:pos="8640"/>
              </w:tabs>
              <w:jc w:val="right"/>
              <w:rPr>
                <w:b/>
                <w:bCs/>
              </w:rPr>
            </w:pPr>
          </w:p>
          <w:p w:rsidR="00143AF2" w:rsidRDefault="00143AF2">
            <w:pPr>
              <w:pStyle w:val="Footer"/>
              <w:tabs>
                <w:tab w:val="clear" w:pos="4320"/>
                <w:tab w:val="clear" w:pos="8640"/>
              </w:tabs>
              <w:jc w:val="right"/>
              <w:rPr>
                <w:b/>
                <w:bCs/>
              </w:rPr>
            </w:pPr>
            <w:r>
              <w:rPr>
                <w:b/>
                <w:bCs/>
              </w:rPr>
              <w:t>Long Term Borrowings</w:t>
            </w:r>
          </w:p>
          <w:p w:rsidR="00143AF2" w:rsidRDefault="00143AF2">
            <w:pPr>
              <w:pStyle w:val="Footer"/>
              <w:tabs>
                <w:tab w:val="clear" w:pos="4320"/>
                <w:tab w:val="clear" w:pos="8640"/>
              </w:tabs>
              <w:jc w:val="right"/>
              <w:rPr>
                <w:b/>
                <w:bCs/>
              </w:rPr>
            </w:pPr>
            <w:r>
              <w:rPr>
                <w:b/>
                <w:bCs/>
              </w:rPr>
              <w:t>(More than 12 months)</w:t>
            </w:r>
          </w:p>
          <w:p w:rsidR="00143AF2" w:rsidRDefault="00143AF2">
            <w:pPr>
              <w:pStyle w:val="Footer"/>
              <w:tabs>
                <w:tab w:val="clear" w:pos="4320"/>
                <w:tab w:val="clear" w:pos="8640"/>
              </w:tabs>
              <w:jc w:val="right"/>
            </w:pPr>
          </w:p>
          <w:p w:rsidR="00143AF2" w:rsidRDefault="00143AF2">
            <w:pPr>
              <w:pStyle w:val="Footer"/>
              <w:tabs>
                <w:tab w:val="clear" w:pos="4320"/>
                <w:tab w:val="clear" w:pos="8640"/>
              </w:tabs>
              <w:jc w:val="right"/>
            </w:pPr>
            <w:r>
              <w:t>RM`000</w:t>
            </w:r>
          </w:p>
          <w:p w:rsidR="00143AF2" w:rsidRDefault="00143AF2">
            <w:pPr>
              <w:pStyle w:val="Footer"/>
              <w:tabs>
                <w:tab w:val="clear" w:pos="4320"/>
                <w:tab w:val="clear" w:pos="8640"/>
              </w:tabs>
              <w:jc w:val="right"/>
            </w:pPr>
          </w:p>
          <w:p w:rsidR="00143AF2" w:rsidRDefault="00143AF2">
            <w:pPr>
              <w:pStyle w:val="Footer"/>
              <w:tabs>
                <w:tab w:val="clear" w:pos="4320"/>
                <w:tab w:val="clear" w:pos="8640"/>
              </w:tabs>
              <w:jc w:val="right"/>
            </w:pPr>
            <w:r>
              <w:t xml:space="preserve">           -</w:t>
            </w:r>
          </w:p>
        </w:tc>
        <w:tc>
          <w:tcPr>
            <w:tcW w:w="1440" w:type="dxa"/>
            <w:vAlign w:val="bottom"/>
          </w:tcPr>
          <w:p w:rsidR="00143AF2" w:rsidRDefault="00143AF2" w:rsidP="00174836">
            <w:pPr>
              <w:jc w:val="right"/>
              <w:rPr>
                <w:sz w:val="22"/>
              </w:rPr>
            </w:pPr>
          </w:p>
          <w:p w:rsidR="00143AF2" w:rsidRDefault="00143AF2" w:rsidP="00174836">
            <w:pPr>
              <w:jc w:val="right"/>
              <w:rPr>
                <w:sz w:val="22"/>
              </w:rPr>
            </w:pPr>
          </w:p>
          <w:p w:rsidR="00143AF2" w:rsidRDefault="00143AF2" w:rsidP="00174836">
            <w:pPr>
              <w:pStyle w:val="Footer"/>
              <w:tabs>
                <w:tab w:val="clear" w:pos="4320"/>
                <w:tab w:val="clear" w:pos="8640"/>
              </w:tabs>
              <w:jc w:val="right"/>
              <w:rPr>
                <w:b/>
                <w:bCs/>
              </w:rPr>
            </w:pPr>
            <w:r>
              <w:rPr>
                <w:b/>
                <w:bCs/>
              </w:rPr>
              <w:t>Total</w:t>
            </w:r>
          </w:p>
          <w:p w:rsidR="00143AF2" w:rsidRDefault="00143AF2" w:rsidP="00174836">
            <w:pPr>
              <w:jc w:val="right"/>
              <w:rPr>
                <w:sz w:val="22"/>
              </w:rPr>
            </w:pPr>
          </w:p>
          <w:p w:rsidR="00143AF2" w:rsidRDefault="00143AF2" w:rsidP="00174836">
            <w:pPr>
              <w:pStyle w:val="Footer"/>
              <w:tabs>
                <w:tab w:val="clear" w:pos="4320"/>
                <w:tab w:val="clear" w:pos="8640"/>
              </w:tabs>
              <w:jc w:val="right"/>
            </w:pPr>
          </w:p>
          <w:p w:rsidR="00143AF2" w:rsidRDefault="00143AF2" w:rsidP="00174836">
            <w:pPr>
              <w:pStyle w:val="Footer"/>
              <w:tabs>
                <w:tab w:val="clear" w:pos="4320"/>
                <w:tab w:val="clear" w:pos="8640"/>
              </w:tabs>
              <w:jc w:val="right"/>
            </w:pPr>
            <w:r>
              <w:t>RM`000</w:t>
            </w:r>
          </w:p>
          <w:p w:rsidR="00143AF2" w:rsidRDefault="00143AF2" w:rsidP="00174836">
            <w:pPr>
              <w:pStyle w:val="StyleRight"/>
            </w:pPr>
          </w:p>
          <w:p w:rsidR="00143AF2" w:rsidRDefault="006F38D7" w:rsidP="00174836">
            <w:pPr>
              <w:pStyle w:val="Footer"/>
              <w:tabs>
                <w:tab w:val="center" w:pos="612"/>
                <w:tab w:val="right" w:pos="1224"/>
              </w:tabs>
              <w:jc w:val="right"/>
            </w:pPr>
            <w:r>
              <w:tab/>
            </w:r>
            <w:r>
              <w:tab/>
            </w:r>
            <w:r w:rsidR="00E5086A">
              <w:t>4,769</w:t>
            </w:r>
          </w:p>
        </w:tc>
      </w:tr>
      <w:tr w:rsidR="00143AF2">
        <w:tc>
          <w:tcPr>
            <w:tcW w:w="2464" w:type="dxa"/>
          </w:tcPr>
          <w:p w:rsidR="00143AF2" w:rsidRDefault="00143AF2" w:rsidP="00336F3B">
            <w:pPr>
              <w:pStyle w:val="Footer"/>
              <w:tabs>
                <w:tab w:val="clear" w:pos="4320"/>
                <w:tab w:val="clear" w:pos="8640"/>
              </w:tabs>
            </w:pPr>
            <w:r>
              <w:t xml:space="preserve">  </w:t>
            </w:r>
            <w:r w:rsidR="00336F3B">
              <w:t>Trade Bills Payable</w:t>
            </w:r>
          </w:p>
        </w:tc>
        <w:tc>
          <w:tcPr>
            <w:tcW w:w="1433" w:type="dxa"/>
          </w:tcPr>
          <w:p w:rsidR="00143AF2" w:rsidRDefault="00585F33">
            <w:pPr>
              <w:pStyle w:val="StyleRight"/>
            </w:pPr>
            <w:r>
              <w:t>8,</w:t>
            </w:r>
            <w:r w:rsidR="00E5086A">
              <w:t>154</w:t>
            </w:r>
          </w:p>
        </w:tc>
        <w:tc>
          <w:tcPr>
            <w:tcW w:w="1323" w:type="dxa"/>
          </w:tcPr>
          <w:p w:rsidR="00143AF2" w:rsidRDefault="00143AF2">
            <w:pPr>
              <w:jc w:val="right"/>
              <w:rPr>
                <w:sz w:val="22"/>
              </w:rPr>
            </w:pPr>
            <w:r>
              <w:rPr>
                <w:sz w:val="22"/>
              </w:rPr>
              <w:t xml:space="preserve">          -</w:t>
            </w:r>
          </w:p>
        </w:tc>
        <w:tc>
          <w:tcPr>
            <w:tcW w:w="1440" w:type="dxa"/>
          </w:tcPr>
          <w:p w:rsidR="00143AF2" w:rsidRDefault="00585F33">
            <w:pPr>
              <w:pStyle w:val="StyleRight"/>
            </w:pPr>
            <w:r>
              <w:t>8,</w:t>
            </w:r>
            <w:r w:rsidR="00E5086A">
              <w:t>154</w:t>
            </w:r>
          </w:p>
        </w:tc>
      </w:tr>
      <w:tr w:rsidR="00143AF2">
        <w:tc>
          <w:tcPr>
            <w:tcW w:w="2464" w:type="dxa"/>
          </w:tcPr>
          <w:p w:rsidR="00143AF2" w:rsidRDefault="00143AF2">
            <w:r>
              <w:rPr>
                <w:sz w:val="22"/>
              </w:rPr>
              <w:t xml:space="preserve">  </w:t>
            </w:r>
            <w:r>
              <w:t>Term Loan</w:t>
            </w:r>
          </w:p>
        </w:tc>
        <w:tc>
          <w:tcPr>
            <w:tcW w:w="1433" w:type="dxa"/>
          </w:tcPr>
          <w:p w:rsidR="00143AF2" w:rsidRDefault="00C712DA">
            <w:pPr>
              <w:jc w:val="center"/>
            </w:pPr>
            <w:r>
              <w:t xml:space="preserve">     </w:t>
            </w:r>
            <w:r w:rsidR="00585F33">
              <w:t xml:space="preserve">              78</w:t>
            </w:r>
            <w:r>
              <w:t xml:space="preserve">           </w:t>
            </w:r>
            <w:r w:rsidR="00EA452F">
              <w:t xml:space="preserve"> </w:t>
            </w:r>
            <w:r w:rsidR="00143AF2">
              <w:t xml:space="preserve">                </w:t>
            </w:r>
          </w:p>
        </w:tc>
        <w:tc>
          <w:tcPr>
            <w:tcW w:w="1323" w:type="dxa"/>
          </w:tcPr>
          <w:p w:rsidR="00143AF2" w:rsidRDefault="00585F33">
            <w:pPr>
              <w:pStyle w:val="StyleRight"/>
            </w:pPr>
            <w:r>
              <w:t>12,2</w:t>
            </w:r>
            <w:r w:rsidR="00E5086A">
              <w:t>27</w:t>
            </w:r>
          </w:p>
        </w:tc>
        <w:tc>
          <w:tcPr>
            <w:tcW w:w="1440" w:type="dxa"/>
          </w:tcPr>
          <w:p w:rsidR="00143AF2" w:rsidRDefault="00AB1CB9">
            <w:pPr>
              <w:pStyle w:val="StyleRight"/>
            </w:pPr>
            <w:r>
              <w:t>12,</w:t>
            </w:r>
            <w:r w:rsidR="00585F33">
              <w:t>3</w:t>
            </w:r>
            <w:r w:rsidR="00E5086A">
              <w:t>05</w:t>
            </w:r>
          </w:p>
        </w:tc>
      </w:tr>
      <w:tr w:rsidR="00143AF2">
        <w:tc>
          <w:tcPr>
            <w:tcW w:w="2464" w:type="dxa"/>
          </w:tcPr>
          <w:p w:rsidR="00143AF2" w:rsidRDefault="00143AF2">
            <w:pPr>
              <w:pStyle w:val="Footer"/>
              <w:tabs>
                <w:tab w:val="clear" w:pos="4320"/>
                <w:tab w:val="clear" w:pos="8640"/>
              </w:tabs>
            </w:pPr>
            <w:r>
              <w:t xml:space="preserve">  Hire Purchase</w:t>
            </w:r>
          </w:p>
        </w:tc>
        <w:tc>
          <w:tcPr>
            <w:tcW w:w="1433" w:type="dxa"/>
          </w:tcPr>
          <w:p w:rsidR="00143AF2" w:rsidRDefault="00173AD7">
            <w:pPr>
              <w:jc w:val="right"/>
              <w:rPr>
                <w:u w:val="single"/>
              </w:rPr>
            </w:pPr>
            <w:r>
              <w:rPr>
                <w:u w:val="single"/>
              </w:rPr>
              <w:t xml:space="preserve"> </w:t>
            </w:r>
            <w:r w:rsidR="00CE79AE">
              <w:rPr>
                <w:u w:val="single"/>
              </w:rPr>
              <w:t xml:space="preserve">  </w:t>
            </w:r>
            <w:r>
              <w:rPr>
                <w:u w:val="single"/>
              </w:rPr>
              <w:t xml:space="preserve">   </w:t>
            </w:r>
            <w:r w:rsidR="000A4458">
              <w:rPr>
                <w:u w:val="single"/>
              </w:rPr>
              <w:t>1</w:t>
            </w:r>
            <w:r w:rsidR="00E5086A">
              <w:rPr>
                <w:u w:val="single"/>
              </w:rPr>
              <w:t>40</w:t>
            </w:r>
          </w:p>
        </w:tc>
        <w:tc>
          <w:tcPr>
            <w:tcW w:w="1323" w:type="dxa"/>
          </w:tcPr>
          <w:p w:rsidR="00143AF2" w:rsidRDefault="00173AD7">
            <w:pPr>
              <w:pStyle w:val="StyleRight"/>
              <w:rPr>
                <w:u w:val="single"/>
              </w:rPr>
            </w:pPr>
            <w:r>
              <w:rPr>
                <w:u w:val="single"/>
              </w:rPr>
              <w:t xml:space="preserve">    </w:t>
            </w:r>
            <w:r w:rsidR="00E5086A">
              <w:rPr>
                <w:u w:val="single"/>
              </w:rPr>
              <w:t>146</w:t>
            </w:r>
          </w:p>
        </w:tc>
        <w:tc>
          <w:tcPr>
            <w:tcW w:w="1440" w:type="dxa"/>
          </w:tcPr>
          <w:p w:rsidR="00143AF2" w:rsidRDefault="00143AF2">
            <w:pPr>
              <w:rPr>
                <w:u w:val="single"/>
              </w:rPr>
            </w:pPr>
            <w:r>
              <w:t xml:space="preserve">           </w:t>
            </w:r>
            <w:r w:rsidR="00173AD7">
              <w:rPr>
                <w:u w:val="single"/>
              </w:rPr>
              <w:t xml:space="preserve"> </w:t>
            </w:r>
            <w:r w:rsidR="000A4458">
              <w:rPr>
                <w:u w:val="single"/>
              </w:rPr>
              <w:t xml:space="preserve">   </w:t>
            </w:r>
            <w:r w:rsidR="00173AD7">
              <w:rPr>
                <w:u w:val="single"/>
              </w:rPr>
              <w:t xml:space="preserve"> </w:t>
            </w:r>
            <w:r w:rsidR="006023A6">
              <w:rPr>
                <w:u w:val="single"/>
              </w:rPr>
              <w:t xml:space="preserve"> </w:t>
            </w:r>
            <w:r w:rsidR="00E5086A">
              <w:rPr>
                <w:u w:val="single"/>
              </w:rPr>
              <w:t xml:space="preserve"> 286</w:t>
            </w:r>
          </w:p>
        </w:tc>
      </w:tr>
      <w:tr w:rsidR="00143AF2">
        <w:tc>
          <w:tcPr>
            <w:tcW w:w="2464" w:type="dxa"/>
          </w:tcPr>
          <w:p w:rsidR="00143AF2" w:rsidRDefault="00143AF2">
            <w:pPr>
              <w:ind w:firstLine="720"/>
              <w:rPr>
                <w:sz w:val="22"/>
              </w:rPr>
            </w:pPr>
          </w:p>
        </w:tc>
        <w:tc>
          <w:tcPr>
            <w:tcW w:w="1433" w:type="dxa"/>
          </w:tcPr>
          <w:p w:rsidR="00143AF2" w:rsidRDefault="00CE79AE">
            <w:pPr>
              <w:jc w:val="right"/>
              <w:rPr>
                <w:u w:val="single"/>
              </w:rPr>
            </w:pPr>
            <w:r>
              <w:rPr>
                <w:u w:val="single"/>
              </w:rPr>
              <w:t xml:space="preserve"> </w:t>
            </w:r>
            <w:r w:rsidR="00E5086A">
              <w:rPr>
                <w:u w:val="single"/>
              </w:rPr>
              <w:t>13,141</w:t>
            </w:r>
          </w:p>
        </w:tc>
        <w:tc>
          <w:tcPr>
            <w:tcW w:w="1323" w:type="dxa"/>
          </w:tcPr>
          <w:p w:rsidR="00143AF2" w:rsidRDefault="00E5086A">
            <w:pPr>
              <w:jc w:val="right"/>
              <w:rPr>
                <w:u w:val="single"/>
              </w:rPr>
            </w:pPr>
            <w:r>
              <w:rPr>
                <w:u w:val="single"/>
              </w:rPr>
              <w:t>12,373</w:t>
            </w:r>
          </w:p>
        </w:tc>
        <w:tc>
          <w:tcPr>
            <w:tcW w:w="1440" w:type="dxa"/>
          </w:tcPr>
          <w:p w:rsidR="00143AF2" w:rsidRDefault="00CE79AE">
            <w:pPr>
              <w:jc w:val="right"/>
              <w:rPr>
                <w:u w:val="single"/>
              </w:rPr>
            </w:pPr>
            <w:r>
              <w:rPr>
                <w:u w:val="single"/>
              </w:rPr>
              <w:t xml:space="preserve">  </w:t>
            </w:r>
            <w:r w:rsidR="00AB1CB9">
              <w:rPr>
                <w:u w:val="single"/>
              </w:rPr>
              <w:t>2</w:t>
            </w:r>
            <w:r w:rsidR="00E5086A">
              <w:rPr>
                <w:u w:val="single"/>
              </w:rPr>
              <w:t>5,514</w:t>
            </w:r>
          </w:p>
        </w:tc>
      </w:tr>
      <w:tr w:rsidR="00143AF2">
        <w:tc>
          <w:tcPr>
            <w:tcW w:w="2464" w:type="dxa"/>
          </w:tcPr>
          <w:p w:rsidR="00143AF2" w:rsidRDefault="00143AF2"/>
        </w:tc>
        <w:tc>
          <w:tcPr>
            <w:tcW w:w="1433" w:type="dxa"/>
          </w:tcPr>
          <w:p w:rsidR="00143AF2" w:rsidRDefault="00143AF2">
            <w:pPr>
              <w:rPr>
                <w:sz w:val="22"/>
              </w:rPr>
            </w:pPr>
          </w:p>
        </w:tc>
        <w:tc>
          <w:tcPr>
            <w:tcW w:w="1323" w:type="dxa"/>
          </w:tcPr>
          <w:p w:rsidR="00143AF2" w:rsidRDefault="00143AF2">
            <w:pPr>
              <w:rPr>
                <w:sz w:val="22"/>
              </w:rPr>
            </w:pPr>
          </w:p>
        </w:tc>
        <w:tc>
          <w:tcPr>
            <w:tcW w:w="1440" w:type="dxa"/>
          </w:tcPr>
          <w:p w:rsidR="00143AF2" w:rsidRDefault="00143AF2">
            <w:pPr>
              <w:rPr>
                <w:sz w:val="22"/>
              </w:rPr>
            </w:pPr>
          </w:p>
        </w:tc>
      </w:tr>
      <w:tr w:rsidR="00143AF2">
        <w:tc>
          <w:tcPr>
            <w:tcW w:w="2464" w:type="dxa"/>
          </w:tcPr>
          <w:p w:rsidR="00143AF2" w:rsidRDefault="00143AF2"/>
        </w:tc>
        <w:tc>
          <w:tcPr>
            <w:tcW w:w="1433" w:type="dxa"/>
          </w:tcPr>
          <w:p w:rsidR="00143AF2" w:rsidRDefault="00143AF2">
            <w:pPr>
              <w:rPr>
                <w:sz w:val="22"/>
                <w:u w:val="single"/>
              </w:rPr>
            </w:pPr>
          </w:p>
        </w:tc>
        <w:tc>
          <w:tcPr>
            <w:tcW w:w="1323" w:type="dxa"/>
          </w:tcPr>
          <w:p w:rsidR="00143AF2" w:rsidRDefault="00143AF2">
            <w:pPr>
              <w:rPr>
                <w:sz w:val="22"/>
                <w:u w:val="single"/>
              </w:rPr>
            </w:pPr>
          </w:p>
        </w:tc>
        <w:tc>
          <w:tcPr>
            <w:tcW w:w="1440" w:type="dxa"/>
          </w:tcPr>
          <w:p w:rsidR="00143AF2" w:rsidRDefault="00143AF2">
            <w:pPr>
              <w:rPr>
                <w:sz w:val="22"/>
                <w:u w:val="single"/>
              </w:rPr>
            </w:pPr>
          </w:p>
        </w:tc>
      </w:tr>
      <w:tr w:rsidR="00143AF2">
        <w:tc>
          <w:tcPr>
            <w:tcW w:w="2464" w:type="dxa"/>
          </w:tcPr>
          <w:p w:rsidR="00143AF2" w:rsidRDefault="00143AF2">
            <w:pPr>
              <w:ind w:firstLine="720"/>
              <w:rPr>
                <w:sz w:val="22"/>
              </w:rPr>
            </w:pPr>
          </w:p>
        </w:tc>
        <w:tc>
          <w:tcPr>
            <w:tcW w:w="1433" w:type="dxa"/>
          </w:tcPr>
          <w:p w:rsidR="00143AF2" w:rsidRDefault="00143AF2">
            <w:pPr>
              <w:rPr>
                <w:u w:val="single"/>
              </w:rPr>
            </w:pPr>
          </w:p>
        </w:tc>
        <w:tc>
          <w:tcPr>
            <w:tcW w:w="1323" w:type="dxa"/>
          </w:tcPr>
          <w:p w:rsidR="00143AF2" w:rsidRDefault="00143AF2">
            <w:pPr>
              <w:rPr>
                <w:u w:val="single"/>
              </w:rPr>
            </w:pPr>
          </w:p>
        </w:tc>
        <w:tc>
          <w:tcPr>
            <w:tcW w:w="1440" w:type="dxa"/>
          </w:tcPr>
          <w:p w:rsidR="00143AF2" w:rsidRDefault="00143AF2">
            <w:pPr>
              <w:rPr>
                <w:u w:val="single"/>
              </w:rPr>
            </w:pPr>
          </w:p>
        </w:tc>
      </w:tr>
    </w:tbl>
    <w:p w:rsidR="00143AF2" w:rsidRDefault="00143AF2">
      <w:pPr>
        <w:jc w:val="both"/>
        <w:rPr>
          <w:b/>
          <w:bCs/>
          <w:sz w:val="22"/>
        </w:rPr>
      </w:pPr>
    </w:p>
    <w:p w:rsidR="009139FE" w:rsidRDefault="009139FE">
      <w:pPr>
        <w:jc w:val="both"/>
        <w:rPr>
          <w:b/>
          <w:bCs/>
          <w:sz w:val="22"/>
        </w:rPr>
      </w:pPr>
    </w:p>
    <w:p w:rsidR="00143AF2" w:rsidRDefault="00143AF2">
      <w:pPr>
        <w:jc w:val="both"/>
        <w:rPr>
          <w:b/>
          <w:bCs/>
          <w:sz w:val="22"/>
        </w:rPr>
      </w:pPr>
      <w:r>
        <w:rPr>
          <w:b/>
          <w:bCs/>
          <w:sz w:val="22"/>
        </w:rPr>
        <w:t>B10.</w:t>
      </w:r>
      <w:r>
        <w:rPr>
          <w:b/>
          <w:bCs/>
        </w:rPr>
        <w:tab/>
      </w:r>
      <w:r>
        <w:rPr>
          <w:b/>
          <w:bCs/>
          <w:sz w:val="22"/>
        </w:rPr>
        <w:t>Off Balance Sheet Financial Instruments</w:t>
      </w:r>
    </w:p>
    <w:p w:rsidR="00143AF2" w:rsidRDefault="00143AF2">
      <w:pPr>
        <w:jc w:val="both"/>
        <w:rPr>
          <w:b/>
          <w:bCs/>
          <w:sz w:val="22"/>
        </w:rPr>
      </w:pPr>
    </w:p>
    <w:p w:rsidR="00143AF2" w:rsidRDefault="00143AF2">
      <w:pPr>
        <w:pStyle w:val="BodyTextIndent3"/>
        <w:ind w:firstLine="0"/>
      </w:pPr>
      <w:r>
        <w:t>There were no financial instruments with off balance sheet risk as at the latest practicable date, which is not earlier than 7 days from date of issuance of this quarterly report.</w:t>
      </w:r>
    </w:p>
    <w:p w:rsidR="00143AF2" w:rsidRDefault="00143AF2">
      <w:pPr>
        <w:rPr>
          <w:sz w:val="22"/>
        </w:rPr>
      </w:pPr>
    </w:p>
    <w:p w:rsidR="00143AF2" w:rsidRDefault="00143AF2">
      <w:pPr>
        <w:pStyle w:val="BodyTextIndent2"/>
        <w:ind w:hanging="720"/>
        <w:rPr>
          <w:b/>
        </w:rPr>
      </w:pPr>
    </w:p>
    <w:p w:rsidR="00143AF2" w:rsidRDefault="00143AF2">
      <w:pPr>
        <w:pStyle w:val="BodyTextIndent2"/>
        <w:ind w:hanging="720"/>
        <w:rPr>
          <w:b/>
        </w:rPr>
      </w:pPr>
      <w:r>
        <w:rPr>
          <w:b/>
        </w:rPr>
        <w:t>B11.</w:t>
      </w:r>
      <w:r>
        <w:rPr>
          <w:b/>
        </w:rPr>
        <w:tab/>
        <w:t>Changes in Material Litigation</w:t>
      </w:r>
    </w:p>
    <w:p w:rsidR="00143AF2" w:rsidRDefault="00143AF2">
      <w:pPr>
        <w:pStyle w:val="BodyTextIndent2"/>
        <w:tabs>
          <w:tab w:val="left" w:pos="720"/>
        </w:tabs>
        <w:rPr>
          <w:b/>
        </w:rPr>
      </w:pPr>
    </w:p>
    <w:p w:rsidR="00143AF2" w:rsidRDefault="00143AF2">
      <w:pPr>
        <w:pStyle w:val="BodyTextIndent2"/>
      </w:pPr>
      <w:r>
        <w:t>There were no pending material litigation as at the date of this report.</w:t>
      </w:r>
    </w:p>
    <w:p w:rsidR="00143AF2" w:rsidRDefault="00143AF2">
      <w:pPr>
        <w:rPr>
          <w:sz w:val="22"/>
        </w:rPr>
      </w:pPr>
    </w:p>
    <w:p w:rsidR="00EC7F6B" w:rsidRDefault="00EC7F6B">
      <w:pPr>
        <w:ind w:left="720" w:hanging="720"/>
        <w:jc w:val="both"/>
        <w:outlineLvl w:val="0"/>
        <w:rPr>
          <w:b/>
          <w:sz w:val="22"/>
        </w:rPr>
      </w:pPr>
    </w:p>
    <w:p w:rsidR="00143AF2" w:rsidRDefault="00143AF2">
      <w:pPr>
        <w:ind w:left="720" w:hanging="720"/>
        <w:jc w:val="both"/>
        <w:outlineLvl w:val="0"/>
        <w:rPr>
          <w:b/>
          <w:sz w:val="22"/>
        </w:rPr>
      </w:pPr>
      <w:r>
        <w:rPr>
          <w:b/>
          <w:sz w:val="22"/>
        </w:rPr>
        <w:t>B12.</w:t>
      </w:r>
      <w:r>
        <w:rPr>
          <w:b/>
          <w:sz w:val="22"/>
        </w:rPr>
        <w:tab/>
        <w:t>Dividend</w:t>
      </w:r>
    </w:p>
    <w:p w:rsidR="00143AF2" w:rsidRDefault="00143AF2">
      <w:pPr>
        <w:ind w:left="720" w:hanging="720"/>
        <w:jc w:val="both"/>
        <w:outlineLvl w:val="0"/>
        <w:rPr>
          <w:sz w:val="22"/>
        </w:rPr>
      </w:pPr>
    </w:p>
    <w:p w:rsidR="00143AF2" w:rsidRDefault="00143AF2" w:rsidP="00485D78">
      <w:pPr>
        <w:pStyle w:val="Heading5"/>
        <w:ind w:hanging="720"/>
        <w:rPr>
          <w:b w:val="0"/>
          <w:bCs w:val="0"/>
        </w:rPr>
      </w:pPr>
      <w:r>
        <w:tab/>
      </w:r>
      <w:r>
        <w:rPr>
          <w:b w:val="0"/>
          <w:bCs w:val="0"/>
        </w:rPr>
        <w:t>No interim and final dividend was recommended by the Board of Director for the financi</w:t>
      </w:r>
      <w:r w:rsidR="00B55F68">
        <w:rPr>
          <w:b w:val="0"/>
          <w:bCs w:val="0"/>
        </w:rPr>
        <w:t>al period en</w:t>
      </w:r>
      <w:r w:rsidR="004D2166">
        <w:rPr>
          <w:b w:val="0"/>
          <w:bCs w:val="0"/>
        </w:rPr>
        <w:t>ded 31 March 2013</w:t>
      </w:r>
      <w:r>
        <w:rPr>
          <w:b w:val="0"/>
          <w:bCs w:val="0"/>
        </w:rPr>
        <w:t>.</w:t>
      </w:r>
    </w:p>
    <w:p w:rsidR="00143AF2" w:rsidRDefault="00143AF2"/>
    <w:p w:rsidR="006023A6" w:rsidRDefault="006023A6">
      <w:pPr>
        <w:pStyle w:val="Heading5"/>
        <w:ind w:hanging="720"/>
      </w:pPr>
    </w:p>
    <w:p w:rsidR="00143AF2" w:rsidRDefault="00143AF2">
      <w:pPr>
        <w:pStyle w:val="Heading5"/>
        <w:ind w:hanging="720"/>
      </w:pPr>
      <w:r>
        <w:t>B13.</w:t>
      </w:r>
      <w:r>
        <w:tab/>
        <w:t>Earnings per share</w:t>
      </w:r>
    </w:p>
    <w:p w:rsidR="00143AF2" w:rsidRDefault="00143AF2"/>
    <w:p w:rsidR="00143AF2" w:rsidRDefault="00143AF2">
      <w:pPr>
        <w:ind w:left="720" w:hanging="720"/>
        <w:rPr>
          <w:sz w:val="22"/>
        </w:rPr>
      </w:pPr>
      <w:r>
        <w:tab/>
      </w:r>
      <w:r>
        <w:rPr>
          <w:sz w:val="22"/>
        </w:rPr>
        <w:t>The basic Earnings per Share and Diluted Earnings per Share of the Group were the same for the reporting period as there w</w:t>
      </w:r>
      <w:r w:rsidR="00216084">
        <w:rPr>
          <w:sz w:val="22"/>
        </w:rPr>
        <w:t xml:space="preserve">as </w:t>
      </w:r>
      <w:r>
        <w:rPr>
          <w:sz w:val="22"/>
        </w:rPr>
        <w:t>no effect of dilutive potential ordinary shares.</w:t>
      </w:r>
    </w:p>
    <w:p w:rsidR="00143AF2" w:rsidRDefault="00143AF2">
      <w:pPr>
        <w:ind w:left="720"/>
        <w:jc w:val="both"/>
      </w:pPr>
      <w:r>
        <w:rPr>
          <w:b/>
          <w:bCs/>
          <w:sz w:val="22"/>
        </w:rPr>
        <w:tab/>
      </w:r>
    </w:p>
    <w:tbl>
      <w:tblPr>
        <w:tblW w:w="7653" w:type="dxa"/>
        <w:tblInd w:w="828" w:type="dxa"/>
        <w:tblLayout w:type="fixed"/>
        <w:tblLook w:val="0000"/>
      </w:tblPr>
      <w:tblGrid>
        <w:gridCol w:w="5493"/>
        <w:gridCol w:w="1080"/>
        <w:gridCol w:w="1080"/>
      </w:tblGrid>
      <w:tr w:rsidR="00143AF2">
        <w:tc>
          <w:tcPr>
            <w:tcW w:w="5493" w:type="dxa"/>
          </w:tcPr>
          <w:p w:rsidR="00143AF2" w:rsidRDefault="00143AF2">
            <w:pPr>
              <w:ind w:firstLine="720"/>
              <w:jc w:val="both"/>
            </w:pPr>
          </w:p>
        </w:tc>
        <w:tc>
          <w:tcPr>
            <w:tcW w:w="1080" w:type="dxa"/>
          </w:tcPr>
          <w:p w:rsidR="00143AF2" w:rsidRDefault="00143AF2">
            <w:pPr>
              <w:jc w:val="center"/>
              <w:rPr>
                <w:b/>
                <w:bCs/>
              </w:rPr>
            </w:pPr>
            <w:r>
              <w:rPr>
                <w:b/>
                <w:bCs/>
              </w:rPr>
              <w:t>Current Quarter ended</w:t>
            </w:r>
          </w:p>
          <w:p w:rsidR="00143AF2" w:rsidRDefault="004175C5">
            <w:pPr>
              <w:jc w:val="center"/>
            </w:pPr>
            <w:r>
              <w:rPr>
                <w:b/>
                <w:bCs/>
              </w:rPr>
              <w:t>3</w:t>
            </w:r>
            <w:r w:rsidR="00FB5BEE">
              <w:rPr>
                <w:b/>
                <w:bCs/>
              </w:rPr>
              <w:t>1</w:t>
            </w:r>
            <w:r w:rsidR="00B55F68">
              <w:rPr>
                <w:b/>
                <w:bCs/>
              </w:rPr>
              <w:t>/</w:t>
            </w:r>
            <w:r w:rsidR="004D2166">
              <w:rPr>
                <w:b/>
                <w:bCs/>
              </w:rPr>
              <w:t>3</w:t>
            </w:r>
            <w:r w:rsidR="00143AF2">
              <w:rPr>
                <w:b/>
                <w:bCs/>
              </w:rPr>
              <w:t>/</w:t>
            </w:r>
            <w:r w:rsidR="00EF5CC0">
              <w:rPr>
                <w:b/>
                <w:bCs/>
              </w:rPr>
              <w:t>1</w:t>
            </w:r>
            <w:r w:rsidR="004D2166">
              <w:rPr>
                <w:b/>
                <w:bCs/>
              </w:rPr>
              <w:t>3</w:t>
            </w:r>
          </w:p>
        </w:tc>
        <w:tc>
          <w:tcPr>
            <w:tcW w:w="1080" w:type="dxa"/>
          </w:tcPr>
          <w:p w:rsidR="00143AF2" w:rsidRDefault="005479D6">
            <w:pPr>
              <w:jc w:val="center"/>
              <w:rPr>
                <w:b/>
                <w:bCs/>
              </w:rPr>
            </w:pPr>
            <w:r>
              <w:rPr>
                <w:b/>
                <w:bCs/>
              </w:rPr>
              <w:t>6</w:t>
            </w:r>
          </w:p>
          <w:p w:rsidR="00143AF2" w:rsidRDefault="00143AF2">
            <w:pPr>
              <w:jc w:val="center"/>
              <w:rPr>
                <w:b/>
                <w:bCs/>
              </w:rPr>
            </w:pPr>
            <w:r>
              <w:rPr>
                <w:b/>
                <w:bCs/>
              </w:rPr>
              <w:t xml:space="preserve"> months ended</w:t>
            </w:r>
          </w:p>
          <w:p w:rsidR="00143AF2" w:rsidRDefault="00B55F68">
            <w:pPr>
              <w:jc w:val="center"/>
            </w:pPr>
            <w:r>
              <w:rPr>
                <w:b/>
                <w:bCs/>
              </w:rPr>
              <w:t>3</w:t>
            </w:r>
            <w:r w:rsidR="004D2166">
              <w:rPr>
                <w:b/>
                <w:bCs/>
              </w:rPr>
              <w:t>1/3</w:t>
            </w:r>
            <w:r w:rsidR="00143AF2">
              <w:rPr>
                <w:b/>
                <w:bCs/>
              </w:rPr>
              <w:t>/</w:t>
            </w:r>
            <w:r w:rsidR="00EF5CC0">
              <w:rPr>
                <w:b/>
                <w:bCs/>
              </w:rPr>
              <w:t>1</w:t>
            </w:r>
            <w:r w:rsidR="005479D6">
              <w:rPr>
                <w:b/>
                <w:bCs/>
              </w:rPr>
              <w:t>3</w:t>
            </w:r>
          </w:p>
        </w:tc>
      </w:tr>
      <w:tr w:rsidR="00143AF2">
        <w:tc>
          <w:tcPr>
            <w:tcW w:w="5493" w:type="dxa"/>
          </w:tcPr>
          <w:p w:rsidR="00143AF2" w:rsidRDefault="00143AF2">
            <w:pPr>
              <w:jc w:val="both"/>
            </w:pPr>
          </w:p>
          <w:p w:rsidR="00143AF2" w:rsidRDefault="00143AF2">
            <w:pPr>
              <w:jc w:val="both"/>
            </w:pPr>
            <w:r>
              <w:t>Basic</w:t>
            </w:r>
          </w:p>
        </w:tc>
        <w:tc>
          <w:tcPr>
            <w:tcW w:w="1080" w:type="dxa"/>
          </w:tcPr>
          <w:p w:rsidR="00143AF2" w:rsidRDefault="00143AF2">
            <w:pPr>
              <w:jc w:val="center"/>
            </w:pPr>
          </w:p>
        </w:tc>
        <w:tc>
          <w:tcPr>
            <w:tcW w:w="1080" w:type="dxa"/>
          </w:tcPr>
          <w:p w:rsidR="00143AF2" w:rsidRDefault="00143AF2">
            <w:pPr>
              <w:jc w:val="center"/>
            </w:pPr>
          </w:p>
        </w:tc>
      </w:tr>
      <w:tr w:rsidR="00143AF2">
        <w:tc>
          <w:tcPr>
            <w:tcW w:w="5493" w:type="dxa"/>
          </w:tcPr>
          <w:p w:rsidR="00143AF2" w:rsidRDefault="00143AF2">
            <w:pPr>
              <w:jc w:val="both"/>
            </w:pPr>
          </w:p>
          <w:p w:rsidR="00143AF2" w:rsidRDefault="00695FBD">
            <w:pPr>
              <w:jc w:val="both"/>
            </w:pPr>
            <w:r>
              <w:t xml:space="preserve">Net </w:t>
            </w:r>
            <w:r w:rsidR="005D4FC5">
              <w:t>Profit/(</w:t>
            </w:r>
            <w:r>
              <w:t>Loss</w:t>
            </w:r>
            <w:r w:rsidR="005D4FC5">
              <w:t>)</w:t>
            </w:r>
            <w:r w:rsidR="00143AF2">
              <w:t xml:space="preserve"> attributable to ordinary shareholders (RM`000)</w:t>
            </w:r>
          </w:p>
        </w:tc>
        <w:tc>
          <w:tcPr>
            <w:tcW w:w="1080" w:type="dxa"/>
          </w:tcPr>
          <w:p w:rsidR="00143AF2" w:rsidRDefault="00143AF2">
            <w:pPr>
              <w:pStyle w:val="StyleRight"/>
            </w:pPr>
            <w:r>
              <w:t xml:space="preserve">       </w:t>
            </w:r>
          </w:p>
          <w:p w:rsidR="00143AF2" w:rsidRDefault="00A80915">
            <w:pPr>
              <w:pStyle w:val="StyleRight"/>
            </w:pPr>
            <w:r>
              <w:t>(1,149</w:t>
            </w:r>
            <w:r w:rsidR="005D4FC5">
              <w:t>)</w:t>
            </w:r>
          </w:p>
        </w:tc>
        <w:tc>
          <w:tcPr>
            <w:tcW w:w="1080" w:type="dxa"/>
          </w:tcPr>
          <w:p w:rsidR="00143AF2" w:rsidRDefault="00143AF2">
            <w:pPr>
              <w:pStyle w:val="StyleRight"/>
            </w:pPr>
            <w:r>
              <w:t xml:space="preserve">     </w:t>
            </w:r>
          </w:p>
          <w:p w:rsidR="00143AF2" w:rsidRDefault="00695FBD">
            <w:pPr>
              <w:pStyle w:val="StyleRight"/>
            </w:pPr>
            <w:r>
              <w:t>(</w:t>
            </w:r>
            <w:r w:rsidR="00A80915">
              <w:t>1,316</w:t>
            </w:r>
            <w:r>
              <w:t>)</w:t>
            </w:r>
          </w:p>
        </w:tc>
      </w:tr>
      <w:tr w:rsidR="00143AF2">
        <w:tc>
          <w:tcPr>
            <w:tcW w:w="5493" w:type="dxa"/>
          </w:tcPr>
          <w:p w:rsidR="00143AF2" w:rsidRDefault="00143AF2">
            <w:pPr>
              <w:jc w:val="both"/>
            </w:pPr>
            <w:r>
              <w:t>Number of ordinary shares issued (`000)</w:t>
            </w:r>
          </w:p>
        </w:tc>
        <w:tc>
          <w:tcPr>
            <w:tcW w:w="1080" w:type="dxa"/>
          </w:tcPr>
          <w:p w:rsidR="00143AF2" w:rsidRDefault="00143AF2">
            <w:pPr>
              <w:pStyle w:val="StyleRight"/>
            </w:pPr>
            <w:r>
              <w:t xml:space="preserve">     42,000</w:t>
            </w:r>
          </w:p>
        </w:tc>
        <w:tc>
          <w:tcPr>
            <w:tcW w:w="1080" w:type="dxa"/>
          </w:tcPr>
          <w:p w:rsidR="00143AF2" w:rsidRDefault="00143AF2">
            <w:pPr>
              <w:pStyle w:val="StyleRight"/>
            </w:pPr>
            <w:r>
              <w:t xml:space="preserve">      42,000</w:t>
            </w:r>
          </w:p>
        </w:tc>
      </w:tr>
      <w:tr w:rsidR="00143AF2">
        <w:tc>
          <w:tcPr>
            <w:tcW w:w="5493" w:type="dxa"/>
          </w:tcPr>
          <w:p w:rsidR="00143AF2" w:rsidRDefault="00695FBD">
            <w:pPr>
              <w:jc w:val="both"/>
            </w:pPr>
            <w:r>
              <w:t xml:space="preserve">Basic </w:t>
            </w:r>
            <w:r w:rsidR="005D4FC5">
              <w:t>Profit/(</w:t>
            </w:r>
            <w:r>
              <w:t>Loss</w:t>
            </w:r>
            <w:r w:rsidR="005D4FC5">
              <w:t>)</w:t>
            </w:r>
            <w:r w:rsidR="00143AF2">
              <w:t xml:space="preserve"> per ordinary share (sen)</w:t>
            </w:r>
          </w:p>
        </w:tc>
        <w:tc>
          <w:tcPr>
            <w:tcW w:w="1080" w:type="dxa"/>
          </w:tcPr>
          <w:p w:rsidR="00143AF2" w:rsidRDefault="00960E86">
            <w:pPr>
              <w:pStyle w:val="StyleRight"/>
            </w:pPr>
            <w:r>
              <w:t xml:space="preserve">      </w:t>
            </w:r>
            <w:r w:rsidR="005D4FC5">
              <w:t>(</w:t>
            </w:r>
            <w:r w:rsidR="00A80915">
              <w:t>2</w:t>
            </w:r>
            <w:r w:rsidR="00E54C68">
              <w:t>.</w:t>
            </w:r>
            <w:r w:rsidR="00A80915">
              <w:t>74</w:t>
            </w:r>
            <w:r w:rsidR="005D4FC5">
              <w:t>)</w:t>
            </w:r>
          </w:p>
        </w:tc>
        <w:tc>
          <w:tcPr>
            <w:tcW w:w="1080" w:type="dxa"/>
          </w:tcPr>
          <w:p w:rsidR="00143AF2" w:rsidRDefault="00DD02F9" w:rsidP="004B6DC7">
            <w:pPr>
              <w:pStyle w:val="StyleRight"/>
            </w:pPr>
            <w:r>
              <w:t xml:space="preserve">     </w:t>
            </w:r>
            <w:r w:rsidR="00695FBD">
              <w:t>(</w:t>
            </w:r>
            <w:r w:rsidR="00A80915">
              <w:t>3.13</w:t>
            </w:r>
            <w:r w:rsidR="00695FBD">
              <w:t>)</w:t>
            </w:r>
          </w:p>
          <w:p w:rsidR="00143AF2" w:rsidRDefault="00143AF2">
            <w:pPr>
              <w:jc w:val="right"/>
            </w:pPr>
          </w:p>
        </w:tc>
      </w:tr>
    </w:tbl>
    <w:p w:rsidR="00143AF2" w:rsidRDefault="00143AF2" w:rsidP="00B054FA">
      <w:pPr>
        <w:jc w:val="both"/>
      </w:pPr>
    </w:p>
    <w:sectPr w:rsidR="00143AF2" w:rsidSect="00E673E3">
      <w:headerReference w:type="default" r:id="rId7"/>
      <w:footerReference w:type="even" r:id="rId8"/>
      <w:footerReference w:type="default" r:id="rId9"/>
      <w:pgSz w:w="11909" w:h="16834" w:code="9"/>
      <w:pgMar w:top="1080" w:right="1289" w:bottom="810" w:left="1152" w:header="108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B35E0" w:rsidRDefault="000B35E0">
      <w:r>
        <w:separator/>
      </w:r>
    </w:p>
  </w:endnote>
  <w:endnote w:type="continuationSeparator" w:id="1">
    <w:p w:rsidR="000B35E0" w:rsidRDefault="000B35E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276F" w:rsidRDefault="00E673E3">
    <w:pPr>
      <w:pStyle w:val="Footer"/>
      <w:framePr w:wrap="around" w:vAnchor="text" w:hAnchor="margin" w:xAlign="center" w:y="1"/>
      <w:rPr>
        <w:rStyle w:val="PageNumber"/>
      </w:rPr>
    </w:pPr>
    <w:r>
      <w:rPr>
        <w:rStyle w:val="PageNumber"/>
      </w:rPr>
      <w:fldChar w:fldCharType="begin"/>
    </w:r>
    <w:r w:rsidR="0098276F">
      <w:rPr>
        <w:rStyle w:val="PageNumber"/>
      </w:rPr>
      <w:instrText xml:space="preserve">PAGE  </w:instrText>
    </w:r>
    <w:r>
      <w:rPr>
        <w:rStyle w:val="PageNumber"/>
      </w:rPr>
      <w:fldChar w:fldCharType="separate"/>
    </w:r>
    <w:r w:rsidR="0098276F">
      <w:rPr>
        <w:rStyle w:val="PageNumber"/>
        <w:noProof/>
      </w:rPr>
      <w:t>10</w:t>
    </w:r>
    <w:r>
      <w:rPr>
        <w:rStyle w:val="PageNumber"/>
      </w:rPr>
      <w:fldChar w:fldCharType="end"/>
    </w:r>
  </w:p>
  <w:p w:rsidR="0098276F" w:rsidRDefault="0098276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276F" w:rsidRDefault="0098276F">
    <w:pPr>
      <w:pStyle w:val="Footer"/>
      <w:framePr w:wrap="around" w:vAnchor="text" w:hAnchor="margin" w:xAlign="center" w:y="1"/>
      <w:rPr>
        <w:rStyle w:val="PageNumber"/>
      </w:rPr>
    </w:pPr>
  </w:p>
  <w:p w:rsidR="0098276F" w:rsidRDefault="0098276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B35E0" w:rsidRDefault="000B35E0">
      <w:r>
        <w:separator/>
      </w:r>
    </w:p>
  </w:footnote>
  <w:footnote w:type="continuationSeparator" w:id="1">
    <w:p w:rsidR="000B35E0" w:rsidRDefault="000B35E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276F" w:rsidRDefault="0098276F">
    <w:pPr>
      <w:jc w:val="center"/>
      <w:outlineLvl w:val="0"/>
      <w:rPr>
        <w:b/>
        <w:sz w:val="16"/>
        <w:szCs w:val="22"/>
      </w:rPr>
    </w:pPr>
    <w:r>
      <w:rPr>
        <w:b/>
        <w:sz w:val="28"/>
        <w:szCs w:val="28"/>
      </w:rPr>
      <w:t>STONE MASTER CORPORATION BERHAD</w:t>
    </w:r>
    <w:r>
      <w:rPr>
        <w:b/>
        <w:sz w:val="22"/>
        <w:szCs w:val="22"/>
      </w:rPr>
      <w:t xml:space="preserve"> </w:t>
    </w:r>
    <w:r>
      <w:rPr>
        <w:i/>
        <w:iCs/>
        <w:snapToGrid w:val="0"/>
        <w:color w:val="000000"/>
        <w:sz w:val="16"/>
        <w:szCs w:val="22"/>
      </w:rPr>
      <w:t>(Company No. 498639-X)</w:t>
    </w:r>
  </w:p>
  <w:p w:rsidR="0098276F" w:rsidRDefault="0098276F">
    <w:pPr>
      <w:pStyle w:val="Heading3"/>
    </w:pPr>
    <w:r>
      <w:t>QUARTERLY REPORT ON CONSOLIDATED RESULTS</w:t>
    </w:r>
  </w:p>
  <w:p w:rsidR="0098276F" w:rsidRDefault="0098276F" w:rsidP="00A87CBE">
    <w:pPr>
      <w:jc w:val="center"/>
      <w:outlineLvl w:val="0"/>
      <w:rPr>
        <w:b/>
        <w:sz w:val="22"/>
        <w:szCs w:val="22"/>
      </w:rPr>
    </w:pPr>
    <w:r>
      <w:rPr>
        <w:b/>
        <w:sz w:val="22"/>
        <w:szCs w:val="22"/>
      </w:rPr>
      <w:t xml:space="preserve">FOR THE FINANCIAL QUARTER ENDED 31 </w:t>
    </w:r>
    <w:r w:rsidR="00E5086A">
      <w:rPr>
        <w:b/>
        <w:sz w:val="22"/>
        <w:szCs w:val="22"/>
      </w:rPr>
      <w:t>MARCH 2013</w:t>
    </w:r>
  </w:p>
  <w:p w:rsidR="0098276F" w:rsidRDefault="0098276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13041"/>
    <w:multiLevelType w:val="singleLevel"/>
    <w:tmpl w:val="F71E0684"/>
    <w:lvl w:ilvl="0">
      <w:start w:val="1"/>
      <w:numFmt w:val="decimal"/>
      <w:pStyle w:val="Caption"/>
      <w:lvlText w:val="%1"/>
      <w:lvlJc w:val="left"/>
      <w:pPr>
        <w:tabs>
          <w:tab w:val="num" w:pos="720"/>
        </w:tabs>
        <w:ind w:left="720" w:hanging="720"/>
      </w:pPr>
      <w:rPr>
        <w:rFonts w:hint="default"/>
      </w:rPr>
    </w:lvl>
  </w:abstractNum>
  <w:abstractNum w:abstractNumId="1">
    <w:nsid w:val="08334886"/>
    <w:multiLevelType w:val="multilevel"/>
    <w:tmpl w:val="F41A3F78"/>
    <w:lvl w:ilvl="0">
      <w:start w:val="20"/>
      <w:numFmt w:val="decimal"/>
      <w:lvlText w:val="%1"/>
      <w:lvlJc w:val="left"/>
      <w:pPr>
        <w:tabs>
          <w:tab w:val="num" w:pos="720"/>
        </w:tabs>
        <w:ind w:left="720" w:hanging="360"/>
      </w:pPr>
      <w:rPr>
        <w:rFonts w:hint="default"/>
      </w:rPr>
    </w:lvl>
    <w:lvl w:ilvl="1">
      <w:start w:val="12"/>
      <w:numFmt w:val="decimal"/>
      <w:lvlText w:val="%2"/>
      <w:lvlJc w:val="left"/>
      <w:pPr>
        <w:tabs>
          <w:tab w:val="num" w:pos="1440"/>
        </w:tabs>
        <w:ind w:left="1440" w:hanging="360"/>
      </w:pPr>
      <w:rPr>
        <w:rFonts w:hint="default"/>
      </w:rPr>
    </w:lvl>
    <w:lvl w:ilvl="2">
      <w:start w:val="3"/>
      <w:numFmt w:val="lowerRoman"/>
      <w:lvlText w:val="(%3)"/>
      <w:lvlJc w:val="left"/>
      <w:pPr>
        <w:tabs>
          <w:tab w:val="num" w:pos="2700"/>
        </w:tabs>
        <w:ind w:left="2700" w:hanging="72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0B363E07"/>
    <w:multiLevelType w:val="hybridMultilevel"/>
    <w:tmpl w:val="5F48BBA4"/>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92C5267"/>
    <w:multiLevelType w:val="hybridMultilevel"/>
    <w:tmpl w:val="2954DC98"/>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DBF5953"/>
    <w:multiLevelType w:val="hybridMultilevel"/>
    <w:tmpl w:val="126AC554"/>
    <w:lvl w:ilvl="0" w:tplc="FFFFFFFF">
      <w:start w:val="17"/>
      <w:numFmt w:val="decimal"/>
      <w:lvlText w:val="%1."/>
      <w:lvlJc w:val="left"/>
      <w:pPr>
        <w:tabs>
          <w:tab w:val="num" w:pos="1080"/>
        </w:tabs>
        <w:ind w:left="1080" w:hanging="720"/>
      </w:pPr>
      <w:rPr>
        <w:rFonts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nsid w:val="25FC63CC"/>
    <w:multiLevelType w:val="hybridMultilevel"/>
    <w:tmpl w:val="EA545558"/>
    <w:lvl w:ilvl="0" w:tplc="E57428C8">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27146F5A"/>
    <w:multiLevelType w:val="hybridMultilevel"/>
    <w:tmpl w:val="E300185A"/>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2F3D7DA2"/>
    <w:multiLevelType w:val="hybridMultilevel"/>
    <w:tmpl w:val="15641218"/>
    <w:lvl w:ilvl="0" w:tplc="3208BA56">
      <w:start w:val="4"/>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36E818A2"/>
    <w:multiLevelType w:val="hybridMultilevel"/>
    <w:tmpl w:val="F182C484"/>
    <w:lvl w:ilvl="0" w:tplc="C124183A">
      <w:start w:val="1"/>
      <w:numFmt w:val="bullet"/>
      <w:lvlText w:val="-"/>
      <w:lvlJc w:val="left"/>
      <w:pPr>
        <w:tabs>
          <w:tab w:val="num" w:pos="1140"/>
        </w:tabs>
        <w:ind w:left="1140" w:hanging="360"/>
      </w:pPr>
      <w:rPr>
        <w:rFonts w:ascii="Times New Roman" w:eastAsia="Times New Roman" w:hAnsi="Times New Roman" w:cs="Times New Roman" w:hint="default"/>
      </w:rPr>
    </w:lvl>
    <w:lvl w:ilvl="1" w:tplc="04090003" w:tentative="1">
      <w:start w:val="1"/>
      <w:numFmt w:val="bullet"/>
      <w:lvlText w:val="o"/>
      <w:lvlJc w:val="left"/>
      <w:pPr>
        <w:tabs>
          <w:tab w:val="num" w:pos="1860"/>
        </w:tabs>
        <w:ind w:left="1860" w:hanging="360"/>
      </w:pPr>
      <w:rPr>
        <w:rFonts w:ascii="Courier New" w:hAnsi="Courier New" w:cs="Courier New" w:hint="default"/>
      </w:rPr>
    </w:lvl>
    <w:lvl w:ilvl="2" w:tplc="04090005" w:tentative="1">
      <w:start w:val="1"/>
      <w:numFmt w:val="bullet"/>
      <w:lvlText w:val=""/>
      <w:lvlJc w:val="left"/>
      <w:pPr>
        <w:tabs>
          <w:tab w:val="num" w:pos="2580"/>
        </w:tabs>
        <w:ind w:left="2580" w:hanging="360"/>
      </w:pPr>
      <w:rPr>
        <w:rFonts w:ascii="Wingdings" w:hAnsi="Wingdings" w:hint="default"/>
      </w:rPr>
    </w:lvl>
    <w:lvl w:ilvl="3" w:tplc="04090001" w:tentative="1">
      <w:start w:val="1"/>
      <w:numFmt w:val="bullet"/>
      <w:lvlText w:val=""/>
      <w:lvlJc w:val="left"/>
      <w:pPr>
        <w:tabs>
          <w:tab w:val="num" w:pos="3300"/>
        </w:tabs>
        <w:ind w:left="3300" w:hanging="360"/>
      </w:pPr>
      <w:rPr>
        <w:rFonts w:ascii="Symbol" w:hAnsi="Symbol" w:hint="default"/>
      </w:rPr>
    </w:lvl>
    <w:lvl w:ilvl="4" w:tplc="04090003" w:tentative="1">
      <w:start w:val="1"/>
      <w:numFmt w:val="bullet"/>
      <w:lvlText w:val="o"/>
      <w:lvlJc w:val="left"/>
      <w:pPr>
        <w:tabs>
          <w:tab w:val="num" w:pos="4020"/>
        </w:tabs>
        <w:ind w:left="4020" w:hanging="360"/>
      </w:pPr>
      <w:rPr>
        <w:rFonts w:ascii="Courier New" w:hAnsi="Courier New" w:cs="Courier New" w:hint="default"/>
      </w:rPr>
    </w:lvl>
    <w:lvl w:ilvl="5" w:tplc="04090005" w:tentative="1">
      <w:start w:val="1"/>
      <w:numFmt w:val="bullet"/>
      <w:lvlText w:val=""/>
      <w:lvlJc w:val="left"/>
      <w:pPr>
        <w:tabs>
          <w:tab w:val="num" w:pos="4740"/>
        </w:tabs>
        <w:ind w:left="4740" w:hanging="360"/>
      </w:pPr>
      <w:rPr>
        <w:rFonts w:ascii="Wingdings" w:hAnsi="Wingdings" w:hint="default"/>
      </w:rPr>
    </w:lvl>
    <w:lvl w:ilvl="6" w:tplc="04090001" w:tentative="1">
      <w:start w:val="1"/>
      <w:numFmt w:val="bullet"/>
      <w:lvlText w:val=""/>
      <w:lvlJc w:val="left"/>
      <w:pPr>
        <w:tabs>
          <w:tab w:val="num" w:pos="5460"/>
        </w:tabs>
        <w:ind w:left="5460" w:hanging="360"/>
      </w:pPr>
      <w:rPr>
        <w:rFonts w:ascii="Symbol" w:hAnsi="Symbol" w:hint="default"/>
      </w:rPr>
    </w:lvl>
    <w:lvl w:ilvl="7" w:tplc="04090003" w:tentative="1">
      <w:start w:val="1"/>
      <w:numFmt w:val="bullet"/>
      <w:lvlText w:val="o"/>
      <w:lvlJc w:val="left"/>
      <w:pPr>
        <w:tabs>
          <w:tab w:val="num" w:pos="6180"/>
        </w:tabs>
        <w:ind w:left="6180" w:hanging="360"/>
      </w:pPr>
      <w:rPr>
        <w:rFonts w:ascii="Courier New" w:hAnsi="Courier New" w:cs="Courier New" w:hint="default"/>
      </w:rPr>
    </w:lvl>
    <w:lvl w:ilvl="8" w:tplc="04090005" w:tentative="1">
      <w:start w:val="1"/>
      <w:numFmt w:val="bullet"/>
      <w:lvlText w:val=""/>
      <w:lvlJc w:val="left"/>
      <w:pPr>
        <w:tabs>
          <w:tab w:val="num" w:pos="6900"/>
        </w:tabs>
        <w:ind w:left="6900" w:hanging="360"/>
      </w:pPr>
      <w:rPr>
        <w:rFonts w:ascii="Wingdings" w:hAnsi="Wingdings" w:hint="default"/>
      </w:rPr>
    </w:lvl>
  </w:abstractNum>
  <w:abstractNum w:abstractNumId="9">
    <w:nsid w:val="3CCB0753"/>
    <w:multiLevelType w:val="singleLevel"/>
    <w:tmpl w:val="AB046A52"/>
    <w:lvl w:ilvl="0">
      <w:start w:val="16"/>
      <w:numFmt w:val="decimal"/>
      <w:pStyle w:val="Heading9"/>
      <w:lvlText w:val="%1"/>
      <w:lvlJc w:val="left"/>
      <w:pPr>
        <w:tabs>
          <w:tab w:val="num" w:pos="720"/>
        </w:tabs>
        <w:ind w:left="720" w:hanging="720"/>
      </w:pPr>
      <w:rPr>
        <w:rFonts w:hint="default"/>
      </w:rPr>
    </w:lvl>
  </w:abstractNum>
  <w:abstractNum w:abstractNumId="10">
    <w:nsid w:val="41466A9B"/>
    <w:multiLevelType w:val="hybridMultilevel"/>
    <w:tmpl w:val="ACE8DE8C"/>
    <w:lvl w:ilvl="0" w:tplc="6A86F6A4">
      <w:start w:val="8"/>
      <w:numFmt w:val="bullet"/>
      <w:lvlText w:val="-"/>
      <w:lvlJc w:val="left"/>
      <w:pPr>
        <w:tabs>
          <w:tab w:val="num" w:pos="420"/>
        </w:tabs>
        <w:ind w:left="420" w:hanging="360"/>
      </w:pPr>
      <w:rPr>
        <w:rFonts w:ascii="Times New Roman" w:eastAsia="Times New Roman" w:hAnsi="Times New Roman" w:cs="Times New Roman" w:hint="default"/>
      </w:rPr>
    </w:lvl>
    <w:lvl w:ilvl="1" w:tplc="04090003" w:tentative="1">
      <w:start w:val="1"/>
      <w:numFmt w:val="bullet"/>
      <w:lvlText w:val="o"/>
      <w:lvlJc w:val="left"/>
      <w:pPr>
        <w:tabs>
          <w:tab w:val="num" w:pos="1140"/>
        </w:tabs>
        <w:ind w:left="1140" w:hanging="360"/>
      </w:pPr>
      <w:rPr>
        <w:rFonts w:ascii="Courier New" w:hAnsi="Courier New"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abstractNum w:abstractNumId="11">
    <w:nsid w:val="41CD0C78"/>
    <w:multiLevelType w:val="hybridMultilevel"/>
    <w:tmpl w:val="88C20154"/>
    <w:lvl w:ilvl="0" w:tplc="2AB01C6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560"/>
        </w:tabs>
        <w:ind w:left="1560" w:hanging="420"/>
      </w:pPr>
    </w:lvl>
    <w:lvl w:ilvl="2" w:tplc="0409001B" w:tentative="1">
      <w:start w:val="1"/>
      <w:numFmt w:val="lowerRoman"/>
      <w:lvlText w:val="%3."/>
      <w:lvlJc w:val="righ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9" w:tentative="1">
      <w:start w:val="1"/>
      <w:numFmt w:val="lowerLetter"/>
      <w:lvlText w:val="%5)"/>
      <w:lvlJc w:val="left"/>
      <w:pPr>
        <w:tabs>
          <w:tab w:val="num" w:pos="2820"/>
        </w:tabs>
        <w:ind w:left="2820" w:hanging="420"/>
      </w:pPr>
    </w:lvl>
    <w:lvl w:ilvl="5" w:tplc="0409001B" w:tentative="1">
      <w:start w:val="1"/>
      <w:numFmt w:val="lowerRoman"/>
      <w:lvlText w:val="%6."/>
      <w:lvlJc w:val="righ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9" w:tentative="1">
      <w:start w:val="1"/>
      <w:numFmt w:val="lowerLetter"/>
      <w:lvlText w:val="%8)"/>
      <w:lvlJc w:val="left"/>
      <w:pPr>
        <w:tabs>
          <w:tab w:val="num" w:pos="4080"/>
        </w:tabs>
        <w:ind w:left="4080" w:hanging="420"/>
      </w:pPr>
    </w:lvl>
    <w:lvl w:ilvl="8" w:tplc="0409001B" w:tentative="1">
      <w:start w:val="1"/>
      <w:numFmt w:val="lowerRoman"/>
      <w:lvlText w:val="%9."/>
      <w:lvlJc w:val="right"/>
      <w:pPr>
        <w:tabs>
          <w:tab w:val="num" w:pos="4500"/>
        </w:tabs>
        <w:ind w:left="4500" w:hanging="420"/>
      </w:pPr>
    </w:lvl>
  </w:abstractNum>
  <w:abstractNum w:abstractNumId="12">
    <w:nsid w:val="49EF0CB4"/>
    <w:multiLevelType w:val="hybridMultilevel"/>
    <w:tmpl w:val="767AAA0C"/>
    <w:lvl w:ilvl="0" w:tplc="FFFFFFFF">
      <w:start w:val="14"/>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nsid w:val="4FA07BB9"/>
    <w:multiLevelType w:val="hybridMultilevel"/>
    <w:tmpl w:val="30BE5A18"/>
    <w:lvl w:ilvl="0" w:tplc="F5742C26">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70B230CE"/>
    <w:multiLevelType w:val="hybridMultilevel"/>
    <w:tmpl w:val="013A4AC0"/>
    <w:lvl w:ilvl="0" w:tplc="68C4C1EC">
      <w:start w:val="4"/>
      <w:numFmt w:val="lowerRoman"/>
      <w:lvlText w:val="%1)"/>
      <w:lvlJc w:val="left"/>
      <w:pPr>
        <w:tabs>
          <w:tab w:val="num" w:pos="1440"/>
        </w:tabs>
        <w:ind w:left="1440" w:hanging="720"/>
      </w:pPr>
      <w:rPr>
        <w:rFonts w:hint="default"/>
        <w:sz w:val="2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737F303F"/>
    <w:multiLevelType w:val="hybridMultilevel"/>
    <w:tmpl w:val="27903BCE"/>
    <w:lvl w:ilvl="0" w:tplc="40B4AD04">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9"/>
  </w:num>
  <w:num w:numId="2">
    <w:abstractNumId w:val="6"/>
  </w:num>
  <w:num w:numId="3">
    <w:abstractNumId w:val="12"/>
  </w:num>
  <w:num w:numId="4">
    <w:abstractNumId w:val="4"/>
  </w:num>
  <w:num w:numId="5">
    <w:abstractNumId w:val="3"/>
  </w:num>
  <w:num w:numId="6">
    <w:abstractNumId w:val="2"/>
  </w:num>
  <w:num w:numId="7">
    <w:abstractNumId w:val="13"/>
  </w:num>
  <w:num w:numId="8">
    <w:abstractNumId w:val="0"/>
  </w:num>
  <w:num w:numId="9">
    <w:abstractNumId w:val="1"/>
  </w:num>
  <w:num w:numId="10">
    <w:abstractNumId w:val="10"/>
  </w:num>
  <w:num w:numId="11">
    <w:abstractNumId w:val="5"/>
  </w:num>
  <w:num w:numId="12">
    <w:abstractNumId w:val="15"/>
  </w:num>
  <w:num w:numId="13">
    <w:abstractNumId w:val="14"/>
  </w:num>
  <w:num w:numId="14">
    <w:abstractNumId w:val="7"/>
  </w:num>
  <w:num w:numId="15">
    <w:abstractNumId w:val="11"/>
  </w:num>
  <w:num w:numId="16">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noPunctuationKerning/>
  <w:characterSpacingControl w:val="doNotCompress"/>
  <w:footnotePr>
    <w:footnote w:id="0"/>
    <w:footnote w:id="1"/>
  </w:footnotePr>
  <w:endnotePr>
    <w:endnote w:id="0"/>
    <w:endnote w:id="1"/>
  </w:endnotePr>
  <w:compat>
    <w:useFELayout/>
  </w:compat>
  <w:rsids>
    <w:rsidRoot w:val="00436AE7"/>
    <w:rsid w:val="00003AE2"/>
    <w:rsid w:val="00004F61"/>
    <w:rsid w:val="0002356A"/>
    <w:rsid w:val="00025638"/>
    <w:rsid w:val="0003778D"/>
    <w:rsid w:val="000448F2"/>
    <w:rsid w:val="00064224"/>
    <w:rsid w:val="00090829"/>
    <w:rsid w:val="00095E0D"/>
    <w:rsid w:val="000A4458"/>
    <w:rsid w:val="000B35E0"/>
    <w:rsid w:val="000B3860"/>
    <w:rsid w:val="000B6548"/>
    <w:rsid w:val="000C3A57"/>
    <w:rsid w:val="000D2AC6"/>
    <w:rsid w:val="000E1AE5"/>
    <w:rsid w:val="000E48E6"/>
    <w:rsid w:val="000E5351"/>
    <w:rsid w:val="000F1FF7"/>
    <w:rsid w:val="000F7671"/>
    <w:rsid w:val="00102371"/>
    <w:rsid w:val="0011026F"/>
    <w:rsid w:val="00121388"/>
    <w:rsid w:val="00122705"/>
    <w:rsid w:val="001242E3"/>
    <w:rsid w:val="00135062"/>
    <w:rsid w:val="00135315"/>
    <w:rsid w:val="00136CCB"/>
    <w:rsid w:val="00143AF2"/>
    <w:rsid w:val="001441DA"/>
    <w:rsid w:val="00146B5F"/>
    <w:rsid w:val="001507B8"/>
    <w:rsid w:val="00154D52"/>
    <w:rsid w:val="00173126"/>
    <w:rsid w:val="00173AD7"/>
    <w:rsid w:val="0017417D"/>
    <w:rsid w:val="00174836"/>
    <w:rsid w:val="00183449"/>
    <w:rsid w:val="0018670C"/>
    <w:rsid w:val="001872C8"/>
    <w:rsid w:val="00187728"/>
    <w:rsid w:val="001A1F68"/>
    <w:rsid w:val="001A5A72"/>
    <w:rsid w:val="001A5D0E"/>
    <w:rsid w:val="001A78DE"/>
    <w:rsid w:val="001A7E1A"/>
    <w:rsid w:val="001B1FA8"/>
    <w:rsid w:val="001B7F22"/>
    <w:rsid w:val="001C04B0"/>
    <w:rsid w:val="001D0B03"/>
    <w:rsid w:val="001D5216"/>
    <w:rsid w:val="001D6215"/>
    <w:rsid w:val="001E33A0"/>
    <w:rsid w:val="001E4F26"/>
    <w:rsid w:val="001F13EE"/>
    <w:rsid w:val="001F20C5"/>
    <w:rsid w:val="001F3E5A"/>
    <w:rsid w:val="00203424"/>
    <w:rsid w:val="00206A7A"/>
    <w:rsid w:val="00216084"/>
    <w:rsid w:val="002362A0"/>
    <w:rsid w:val="00243FE9"/>
    <w:rsid w:val="00250710"/>
    <w:rsid w:val="002732A0"/>
    <w:rsid w:val="0028249F"/>
    <w:rsid w:val="00287FBE"/>
    <w:rsid w:val="00291357"/>
    <w:rsid w:val="002A6F42"/>
    <w:rsid w:val="002C6492"/>
    <w:rsid w:val="002D4432"/>
    <w:rsid w:val="002D514F"/>
    <w:rsid w:val="002D5264"/>
    <w:rsid w:val="002F68B5"/>
    <w:rsid w:val="0030478C"/>
    <w:rsid w:val="00304C36"/>
    <w:rsid w:val="00306DF7"/>
    <w:rsid w:val="00313CD1"/>
    <w:rsid w:val="00325189"/>
    <w:rsid w:val="00325CFF"/>
    <w:rsid w:val="00336F3B"/>
    <w:rsid w:val="00340CDF"/>
    <w:rsid w:val="00360163"/>
    <w:rsid w:val="003849E5"/>
    <w:rsid w:val="00393764"/>
    <w:rsid w:val="00396BED"/>
    <w:rsid w:val="003A3CF7"/>
    <w:rsid w:val="003B19F8"/>
    <w:rsid w:val="003B7028"/>
    <w:rsid w:val="003B78B0"/>
    <w:rsid w:val="003C5F0A"/>
    <w:rsid w:val="003D00F0"/>
    <w:rsid w:val="003D1E96"/>
    <w:rsid w:val="003E3727"/>
    <w:rsid w:val="003E7D6F"/>
    <w:rsid w:val="003E7EBF"/>
    <w:rsid w:val="003F02C6"/>
    <w:rsid w:val="004175C5"/>
    <w:rsid w:val="00417E1B"/>
    <w:rsid w:val="00423A9C"/>
    <w:rsid w:val="00431B83"/>
    <w:rsid w:val="00436AE7"/>
    <w:rsid w:val="00485D78"/>
    <w:rsid w:val="004868DB"/>
    <w:rsid w:val="00486A1A"/>
    <w:rsid w:val="004A1B00"/>
    <w:rsid w:val="004B6DC7"/>
    <w:rsid w:val="004C598D"/>
    <w:rsid w:val="004C7D70"/>
    <w:rsid w:val="004D2166"/>
    <w:rsid w:val="004D7B22"/>
    <w:rsid w:val="004E344F"/>
    <w:rsid w:val="004F274C"/>
    <w:rsid w:val="004F6EAE"/>
    <w:rsid w:val="00511FD8"/>
    <w:rsid w:val="00521B4D"/>
    <w:rsid w:val="005337C6"/>
    <w:rsid w:val="005402F9"/>
    <w:rsid w:val="005469CA"/>
    <w:rsid w:val="005479D6"/>
    <w:rsid w:val="0055394B"/>
    <w:rsid w:val="00553B1A"/>
    <w:rsid w:val="00555081"/>
    <w:rsid w:val="0057181D"/>
    <w:rsid w:val="0057230B"/>
    <w:rsid w:val="00585F33"/>
    <w:rsid w:val="0058629F"/>
    <w:rsid w:val="00590667"/>
    <w:rsid w:val="00590ED2"/>
    <w:rsid w:val="00593C97"/>
    <w:rsid w:val="005971E7"/>
    <w:rsid w:val="005A5675"/>
    <w:rsid w:val="005A6B36"/>
    <w:rsid w:val="005B3824"/>
    <w:rsid w:val="005C41C8"/>
    <w:rsid w:val="005D1516"/>
    <w:rsid w:val="005D3C38"/>
    <w:rsid w:val="005D4384"/>
    <w:rsid w:val="005D4D12"/>
    <w:rsid w:val="005D4FC5"/>
    <w:rsid w:val="005F15A4"/>
    <w:rsid w:val="005F1F97"/>
    <w:rsid w:val="005F6827"/>
    <w:rsid w:val="00600DAE"/>
    <w:rsid w:val="006023A6"/>
    <w:rsid w:val="006128BE"/>
    <w:rsid w:val="00626FAE"/>
    <w:rsid w:val="00640C44"/>
    <w:rsid w:val="0064156D"/>
    <w:rsid w:val="00642462"/>
    <w:rsid w:val="00647B48"/>
    <w:rsid w:val="00654C64"/>
    <w:rsid w:val="006553BF"/>
    <w:rsid w:val="006576DA"/>
    <w:rsid w:val="00660E92"/>
    <w:rsid w:val="00667C35"/>
    <w:rsid w:val="00673274"/>
    <w:rsid w:val="00681B94"/>
    <w:rsid w:val="00685C3F"/>
    <w:rsid w:val="00686B67"/>
    <w:rsid w:val="00691028"/>
    <w:rsid w:val="00695FBD"/>
    <w:rsid w:val="006A1E52"/>
    <w:rsid w:val="006A2387"/>
    <w:rsid w:val="006A6420"/>
    <w:rsid w:val="006C451C"/>
    <w:rsid w:val="006D276E"/>
    <w:rsid w:val="006D47DC"/>
    <w:rsid w:val="006E167E"/>
    <w:rsid w:val="006F0ADD"/>
    <w:rsid w:val="006F1181"/>
    <w:rsid w:val="006F38D7"/>
    <w:rsid w:val="006F6524"/>
    <w:rsid w:val="00705A46"/>
    <w:rsid w:val="00706864"/>
    <w:rsid w:val="00707A8F"/>
    <w:rsid w:val="007149AA"/>
    <w:rsid w:val="00717BD7"/>
    <w:rsid w:val="007319D0"/>
    <w:rsid w:val="00733F19"/>
    <w:rsid w:val="00741774"/>
    <w:rsid w:val="007460A5"/>
    <w:rsid w:val="00747DED"/>
    <w:rsid w:val="00751B0D"/>
    <w:rsid w:val="00751EA5"/>
    <w:rsid w:val="00753A46"/>
    <w:rsid w:val="00755CCF"/>
    <w:rsid w:val="007574E1"/>
    <w:rsid w:val="0075753C"/>
    <w:rsid w:val="00771232"/>
    <w:rsid w:val="007A0825"/>
    <w:rsid w:val="007A2B38"/>
    <w:rsid w:val="007A5217"/>
    <w:rsid w:val="007B4281"/>
    <w:rsid w:val="007C13CA"/>
    <w:rsid w:val="007C2F50"/>
    <w:rsid w:val="007C5958"/>
    <w:rsid w:val="007D297E"/>
    <w:rsid w:val="007D526A"/>
    <w:rsid w:val="007E092E"/>
    <w:rsid w:val="007F0614"/>
    <w:rsid w:val="00801522"/>
    <w:rsid w:val="0080581B"/>
    <w:rsid w:val="00812051"/>
    <w:rsid w:val="00815A03"/>
    <w:rsid w:val="00823E04"/>
    <w:rsid w:val="00842B2C"/>
    <w:rsid w:val="00864176"/>
    <w:rsid w:val="008703DB"/>
    <w:rsid w:val="00884DBE"/>
    <w:rsid w:val="00891DEF"/>
    <w:rsid w:val="00896BD4"/>
    <w:rsid w:val="008A0100"/>
    <w:rsid w:val="008A19C7"/>
    <w:rsid w:val="008B0690"/>
    <w:rsid w:val="008C5742"/>
    <w:rsid w:val="008C7846"/>
    <w:rsid w:val="008D0100"/>
    <w:rsid w:val="008D14F3"/>
    <w:rsid w:val="008D607E"/>
    <w:rsid w:val="008E0B4B"/>
    <w:rsid w:val="008F4C78"/>
    <w:rsid w:val="008F74BA"/>
    <w:rsid w:val="009139FE"/>
    <w:rsid w:val="0091587A"/>
    <w:rsid w:val="00917EE5"/>
    <w:rsid w:val="009205D9"/>
    <w:rsid w:val="009256C2"/>
    <w:rsid w:val="00926465"/>
    <w:rsid w:val="00926C8E"/>
    <w:rsid w:val="009503C6"/>
    <w:rsid w:val="00960E86"/>
    <w:rsid w:val="00962265"/>
    <w:rsid w:val="00963FE3"/>
    <w:rsid w:val="0098276F"/>
    <w:rsid w:val="0099439C"/>
    <w:rsid w:val="0099472E"/>
    <w:rsid w:val="009A0E02"/>
    <w:rsid w:val="009A3F60"/>
    <w:rsid w:val="009A6071"/>
    <w:rsid w:val="009B3B04"/>
    <w:rsid w:val="009B5BFF"/>
    <w:rsid w:val="009B7474"/>
    <w:rsid w:val="009C0122"/>
    <w:rsid w:val="009C0BE2"/>
    <w:rsid w:val="009C1C7E"/>
    <w:rsid w:val="009E3E10"/>
    <w:rsid w:val="009E584F"/>
    <w:rsid w:val="009E5BAB"/>
    <w:rsid w:val="00A053ED"/>
    <w:rsid w:val="00A07EDA"/>
    <w:rsid w:val="00A10264"/>
    <w:rsid w:val="00A14EE7"/>
    <w:rsid w:val="00A47F16"/>
    <w:rsid w:val="00A534A9"/>
    <w:rsid w:val="00A67F46"/>
    <w:rsid w:val="00A71501"/>
    <w:rsid w:val="00A7632B"/>
    <w:rsid w:val="00A80915"/>
    <w:rsid w:val="00A821B0"/>
    <w:rsid w:val="00A86698"/>
    <w:rsid w:val="00A8756A"/>
    <w:rsid w:val="00A87CBE"/>
    <w:rsid w:val="00AA349A"/>
    <w:rsid w:val="00AB1CB9"/>
    <w:rsid w:val="00B054FA"/>
    <w:rsid w:val="00B0578E"/>
    <w:rsid w:val="00B061C2"/>
    <w:rsid w:val="00B11FE4"/>
    <w:rsid w:val="00B17F8B"/>
    <w:rsid w:val="00B27287"/>
    <w:rsid w:val="00B33AB3"/>
    <w:rsid w:val="00B34DFD"/>
    <w:rsid w:val="00B41F04"/>
    <w:rsid w:val="00B44D6A"/>
    <w:rsid w:val="00B55F68"/>
    <w:rsid w:val="00B57112"/>
    <w:rsid w:val="00B64D5A"/>
    <w:rsid w:val="00B816A1"/>
    <w:rsid w:val="00B83DC3"/>
    <w:rsid w:val="00B87C84"/>
    <w:rsid w:val="00B959BE"/>
    <w:rsid w:val="00BA570A"/>
    <w:rsid w:val="00BA6250"/>
    <w:rsid w:val="00BB1074"/>
    <w:rsid w:val="00BB2CD1"/>
    <w:rsid w:val="00BB7F6B"/>
    <w:rsid w:val="00BE01D0"/>
    <w:rsid w:val="00BE7C78"/>
    <w:rsid w:val="00BF2F8E"/>
    <w:rsid w:val="00BF4619"/>
    <w:rsid w:val="00C00628"/>
    <w:rsid w:val="00C0221A"/>
    <w:rsid w:val="00C132A2"/>
    <w:rsid w:val="00C15C85"/>
    <w:rsid w:val="00C21607"/>
    <w:rsid w:val="00C21736"/>
    <w:rsid w:val="00C24E59"/>
    <w:rsid w:val="00C400FE"/>
    <w:rsid w:val="00C4092C"/>
    <w:rsid w:val="00C421BC"/>
    <w:rsid w:val="00C46B3D"/>
    <w:rsid w:val="00C6715A"/>
    <w:rsid w:val="00C712DA"/>
    <w:rsid w:val="00C7383B"/>
    <w:rsid w:val="00C8303F"/>
    <w:rsid w:val="00C962B2"/>
    <w:rsid w:val="00C97B37"/>
    <w:rsid w:val="00CA272F"/>
    <w:rsid w:val="00CA28AB"/>
    <w:rsid w:val="00CB21A7"/>
    <w:rsid w:val="00CB3E8C"/>
    <w:rsid w:val="00CC0708"/>
    <w:rsid w:val="00CC1DDB"/>
    <w:rsid w:val="00CC7287"/>
    <w:rsid w:val="00CD72A7"/>
    <w:rsid w:val="00CE1FB3"/>
    <w:rsid w:val="00CE2BD9"/>
    <w:rsid w:val="00CE61D0"/>
    <w:rsid w:val="00CE79AE"/>
    <w:rsid w:val="00CF0BD9"/>
    <w:rsid w:val="00CF2E29"/>
    <w:rsid w:val="00CF5AD3"/>
    <w:rsid w:val="00CF5D98"/>
    <w:rsid w:val="00D04B16"/>
    <w:rsid w:val="00D06C1B"/>
    <w:rsid w:val="00D157C5"/>
    <w:rsid w:val="00D16C62"/>
    <w:rsid w:val="00D176A8"/>
    <w:rsid w:val="00D24C57"/>
    <w:rsid w:val="00D26CA1"/>
    <w:rsid w:val="00D30F1F"/>
    <w:rsid w:val="00D3284C"/>
    <w:rsid w:val="00D36FE9"/>
    <w:rsid w:val="00D425D8"/>
    <w:rsid w:val="00D47FC0"/>
    <w:rsid w:val="00D52DDD"/>
    <w:rsid w:val="00D6674C"/>
    <w:rsid w:val="00D67234"/>
    <w:rsid w:val="00D75CF7"/>
    <w:rsid w:val="00D8268A"/>
    <w:rsid w:val="00DA2153"/>
    <w:rsid w:val="00DB1F63"/>
    <w:rsid w:val="00DB40D2"/>
    <w:rsid w:val="00DC1F6F"/>
    <w:rsid w:val="00DC3D4D"/>
    <w:rsid w:val="00DC476C"/>
    <w:rsid w:val="00DD02F9"/>
    <w:rsid w:val="00DD1DF5"/>
    <w:rsid w:val="00DE4EE8"/>
    <w:rsid w:val="00DF45CE"/>
    <w:rsid w:val="00E01504"/>
    <w:rsid w:val="00E1411D"/>
    <w:rsid w:val="00E2357F"/>
    <w:rsid w:val="00E3012E"/>
    <w:rsid w:val="00E30ECF"/>
    <w:rsid w:val="00E4264B"/>
    <w:rsid w:val="00E45703"/>
    <w:rsid w:val="00E5086A"/>
    <w:rsid w:val="00E54C68"/>
    <w:rsid w:val="00E673E3"/>
    <w:rsid w:val="00E9080B"/>
    <w:rsid w:val="00EA452F"/>
    <w:rsid w:val="00EB02D7"/>
    <w:rsid w:val="00EC7F6B"/>
    <w:rsid w:val="00ED37AC"/>
    <w:rsid w:val="00ED4374"/>
    <w:rsid w:val="00EF07B3"/>
    <w:rsid w:val="00EF5CC0"/>
    <w:rsid w:val="00F03EA2"/>
    <w:rsid w:val="00F1246F"/>
    <w:rsid w:val="00F2577C"/>
    <w:rsid w:val="00F30B4F"/>
    <w:rsid w:val="00F32B11"/>
    <w:rsid w:val="00F35FA9"/>
    <w:rsid w:val="00F45D10"/>
    <w:rsid w:val="00F47684"/>
    <w:rsid w:val="00F567B9"/>
    <w:rsid w:val="00F61895"/>
    <w:rsid w:val="00F82246"/>
    <w:rsid w:val="00F913CB"/>
    <w:rsid w:val="00F92EAC"/>
    <w:rsid w:val="00FA5AB8"/>
    <w:rsid w:val="00FA73C5"/>
    <w:rsid w:val="00FA77A8"/>
    <w:rsid w:val="00FB5BEE"/>
    <w:rsid w:val="00FC6386"/>
    <w:rsid w:val="00FE5EFD"/>
    <w:rsid w:val="00FE75A4"/>
  </w:rsids>
  <m:mathPr>
    <m:mathFont m:val="Cambria Math"/>
    <m:brkBin m:val="before"/>
    <m:brkBinSub m:val="--"/>
    <m:smallFrac m:val="off"/>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dat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PMingLiU"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73E3"/>
    <w:rPr>
      <w:rFonts w:eastAsia="Times New Roman"/>
      <w:lang w:eastAsia="en-US"/>
    </w:rPr>
  </w:style>
  <w:style w:type="paragraph" w:styleId="Heading1">
    <w:name w:val="heading 1"/>
    <w:basedOn w:val="Normal"/>
    <w:next w:val="Normal"/>
    <w:qFormat/>
    <w:rsid w:val="00E673E3"/>
    <w:pPr>
      <w:keepNext/>
      <w:widowControl w:val="0"/>
      <w:spacing w:line="240" w:lineRule="atLeast"/>
      <w:ind w:right="-1710"/>
      <w:jc w:val="both"/>
      <w:outlineLvl w:val="0"/>
    </w:pPr>
    <w:rPr>
      <w:rFonts w:ascii="Tms Rmn" w:hAnsi="Tms Rmn"/>
      <w:b/>
      <w:snapToGrid w:val="0"/>
      <w:color w:val="000000"/>
      <w:sz w:val="22"/>
    </w:rPr>
  </w:style>
  <w:style w:type="paragraph" w:styleId="Heading2">
    <w:name w:val="heading 2"/>
    <w:basedOn w:val="Normal"/>
    <w:next w:val="Normal"/>
    <w:qFormat/>
    <w:rsid w:val="00E673E3"/>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673E3"/>
    <w:pPr>
      <w:keepNext/>
      <w:jc w:val="center"/>
      <w:outlineLvl w:val="2"/>
    </w:pPr>
    <w:rPr>
      <w:b/>
      <w:sz w:val="22"/>
      <w:szCs w:val="22"/>
    </w:rPr>
  </w:style>
  <w:style w:type="paragraph" w:styleId="Heading4">
    <w:name w:val="heading 4"/>
    <w:basedOn w:val="Normal"/>
    <w:next w:val="Normal"/>
    <w:qFormat/>
    <w:rsid w:val="00E673E3"/>
    <w:pPr>
      <w:keepNext/>
      <w:tabs>
        <w:tab w:val="left" w:pos="360"/>
      </w:tabs>
      <w:ind w:right="-1710"/>
      <w:jc w:val="both"/>
      <w:outlineLvl w:val="3"/>
    </w:pPr>
    <w:rPr>
      <w:b/>
    </w:rPr>
  </w:style>
  <w:style w:type="paragraph" w:styleId="Heading5">
    <w:name w:val="heading 5"/>
    <w:basedOn w:val="Normal"/>
    <w:next w:val="Normal"/>
    <w:qFormat/>
    <w:rsid w:val="00E673E3"/>
    <w:pPr>
      <w:keepNext/>
      <w:ind w:left="720"/>
      <w:jc w:val="both"/>
      <w:outlineLvl w:val="4"/>
    </w:pPr>
    <w:rPr>
      <w:b/>
      <w:bCs/>
      <w:sz w:val="22"/>
    </w:rPr>
  </w:style>
  <w:style w:type="paragraph" w:styleId="Heading6">
    <w:name w:val="heading 6"/>
    <w:basedOn w:val="Normal"/>
    <w:next w:val="Normal"/>
    <w:qFormat/>
    <w:rsid w:val="00E673E3"/>
    <w:pPr>
      <w:keepNext/>
      <w:ind w:left="720"/>
      <w:jc w:val="both"/>
      <w:outlineLvl w:val="5"/>
    </w:pPr>
    <w:rPr>
      <w:sz w:val="22"/>
      <w:u w:val="single"/>
    </w:rPr>
  </w:style>
  <w:style w:type="paragraph" w:styleId="Heading7">
    <w:name w:val="heading 7"/>
    <w:basedOn w:val="Normal"/>
    <w:next w:val="Normal"/>
    <w:qFormat/>
    <w:rsid w:val="00E673E3"/>
    <w:pPr>
      <w:keepNext/>
      <w:ind w:left="720"/>
      <w:jc w:val="both"/>
      <w:outlineLvl w:val="6"/>
    </w:pPr>
    <w:rPr>
      <w:b/>
      <w:bCs/>
      <w:sz w:val="22"/>
      <w:u w:val="single"/>
    </w:rPr>
  </w:style>
  <w:style w:type="paragraph" w:styleId="Heading8">
    <w:name w:val="heading 8"/>
    <w:basedOn w:val="Normal"/>
    <w:next w:val="Normal"/>
    <w:qFormat/>
    <w:rsid w:val="00E673E3"/>
    <w:pPr>
      <w:keepNext/>
      <w:outlineLvl w:val="7"/>
    </w:pPr>
    <w:rPr>
      <w:b/>
      <w:szCs w:val="22"/>
    </w:rPr>
  </w:style>
  <w:style w:type="paragraph" w:styleId="Heading9">
    <w:name w:val="heading 9"/>
    <w:basedOn w:val="Normal"/>
    <w:next w:val="Normal"/>
    <w:qFormat/>
    <w:rsid w:val="00E673E3"/>
    <w:pPr>
      <w:keepNext/>
      <w:numPr>
        <w:numId w:val="1"/>
      </w:numPr>
      <w:jc w:val="both"/>
      <w:outlineLvl w:val="8"/>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E673E3"/>
    <w:pPr>
      <w:tabs>
        <w:tab w:val="left" w:pos="257"/>
        <w:tab w:val="left" w:pos="5520"/>
        <w:tab w:val="left" w:pos="8460"/>
      </w:tabs>
    </w:pPr>
    <w:rPr>
      <w:rFonts w:ascii="Palatino" w:hAnsi="Palatino"/>
      <w:snapToGrid w:val="0"/>
      <w:color w:val="000000"/>
      <w:sz w:val="22"/>
    </w:rPr>
  </w:style>
  <w:style w:type="paragraph" w:styleId="BodyTextIndent2">
    <w:name w:val="Body Text Indent 2"/>
    <w:basedOn w:val="Normal"/>
    <w:rsid w:val="00E673E3"/>
    <w:pPr>
      <w:ind w:left="720"/>
      <w:jc w:val="both"/>
    </w:pPr>
    <w:rPr>
      <w:snapToGrid w:val="0"/>
      <w:color w:val="000000"/>
      <w:sz w:val="22"/>
    </w:rPr>
  </w:style>
  <w:style w:type="paragraph" w:styleId="BodyTextIndent3">
    <w:name w:val="Body Text Indent 3"/>
    <w:basedOn w:val="Normal"/>
    <w:rsid w:val="00E673E3"/>
    <w:pPr>
      <w:ind w:left="720" w:hanging="720"/>
      <w:jc w:val="both"/>
    </w:pPr>
    <w:rPr>
      <w:snapToGrid w:val="0"/>
      <w:color w:val="000000"/>
      <w:sz w:val="22"/>
    </w:rPr>
  </w:style>
  <w:style w:type="paragraph" w:styleId="Footer">
    <w:name w:val="footer"/>
    <w:basedOn w:val="Normal"/>
    <w:rsid w:val="00E673E3"/>
    <w:pPr>
      <w:tabs>
        <w:tab w:val="center" w:pos="4320"/>
        <w:tab w:val="right" w:pos="8640"/>
      </w:tabs>
    </w:pPr>
  </w:style>
  <w:style w:type="character" w:styleId="PageNumber">
    <w:name w:val="page number"/>
    <w:basedOn w:val="DefaultParagraphFont"/>
    <w:rsid w:val="00E673E3"/>
  </w:style>
  <w:style w:type="paragraph" w:styleId="Header">
    <w:name w:val="header"/>
    <w:basedOn w:val="Normal"/>
    <w:rsid w:val="00E673E3"/>
    <w:pPr>
      <w:tabs>
        <w:tab w:val="center" w:pos="4320"/>
        <w:tab w:val="right" w:pos="8640"/>
      </w:tabs>
    </w:pPr>
  </w:style>
  <w:style w:type="paragraph" w:styleId="BalloonText">
    <w:name w:val="Balloon Text"/>
    <w:basedOn w:val="Normal"/>
    <w:semiHidden/>
    <w:rsid w:val="00E673E3"/>
    <w:rPr>
      <w:rFonts w:ascii="Tahoma" w:hAnsi="Tahoma" w:cs="Tahoma"/>
      <w:sz w:val="16"/>
      <w:szCs w:val="16"/>
    </w:rPr>
  </w:style>
  <w:style w:type="paragraph" w:styleId="BodyTextIndent">
    <w:name w:val="Body Text Indent"/>
    <w:basedOn w:val="Normal"/>
    <w:rsid w:val="00E673E3"/>
    <w:pPr>
      <w:ind w:left="720" w:hanging="720"/>
      <w:jc w:val="both"/>
    </w:pPr>
    <w:rPr>
      <w:b/>
      <w:snapToGrid w:val="0"/>
      <w:color w:val="000000"/>
      <w:sz w:val="22"/>
      <w:szCs w:val="22"/>
    </w:rPr>
  </w:style>
  <w:style w:type="paragraph" w:styleId="Caption">
    <w:name w:val="caption"/>
    <w:basedOn w:val="Normal"/>
    <w:next w:val="Normal"/>
    <w:qFormat/>
    <w:rsid w:val="00E673E3"/>
    <w:pPr>
      <w:numPr>
        <w:numId w:val="8"/>
      </w:numPr>
      <w:jc w:val="both"/>
    </w:pPr>
    <w:rPr>
      <w:b/>
    </w:rPr>
  </w:style>
  <w:style w:type="paragraph" w:styleId="BodyText2">
    <w:name w:val="Body Text 2"/>
    <w:basedOn w:val="Normal"/>
    <w:rsid w:val="00E673E3"/>
    <w:pPr>
      <w:jc w:val="center"/>
    </w:pPr>
    <w:rPr>
      <w:sz w:val="22"/>
    </w:rPr>
  </w:style>
  <w:style w:type="paragraph" w:styleId="BodyText3">
    <w:name w:val="Body Text 3"/>
    <w:basedOn w:val="Normal"/>
    <w:rsid w:val="00E673E3"/>
    <w:pPr>
      <w:jc w:val="both"/>
    </w:pPr>
    <w:rPr>
      <w:i/>
      <w:iCs/>
      <w:sz w:val="22"/>
      <w:szCs w:val="22"/>
    </w:rPr>
  </w:style>
  <w:style w:type="paragraph" w:customStyle="1" w:styleId="StyleRight">
    <w:name w:val="Style Right"/>
    <w:basedOn w:val="Footer"/>
    <w:rsid w:val="00E673E3"/>
    <w:pPr>
      <w:jc w:val="right"/>
    </w:pPr>
  </w:style>
  <w:style w:type="paragraph" w:customStyle="1" w:styleId="Style1">
    <w:name w:val="Style1"/>
    <w:basedOn w:val="Footer"/>
    <w:next w:val="Footer"/>
    <w:rsid w:val="00E673E3"/>
  </w:style>
  <w:style w:type="paragraph" w:customStyle="1" w:styleId="Style2">
    <w:name w:val="Style2"/>
    <w:basedOn w:val="Footer"/>
    <w:rsid w:val="00E673E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5</Pages>
  <Words>1415</Words>
  <Characters>8066</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JOTECH HOLDINGS BERHAD (“JOTECH” or “the Company”)</vt:lpstr>
    </vt:vector>
  </TitlesOfParts>
  <Company>Jotech Holdings Berhad</Company>
  <LinksUpToDate>false</LinksUpToDate>
  <CharactersWithSpaces>9463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JOTECH HOLDINGS BERHAD (“JOTECH” or “the Company”)</dc:title>
  <dc:creator>MARIE</dc:creator>
  <cp:lastModifiedBy>MARIE</cp:lastModifiedBy>
  <cp:revision>4</cp:revision>
  <cp:lastPrinted>2012-08-26T08:33:00Z</cp:lastPrinted>
  <dcterms:created xsi:type="dcterms:W3CDTF">2013-05-28T10:02:00Z</dcterms:created>
  <dcterms:modified xsi:type="dcterms:W3CDTF">2013-05-28T10:08:00Z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1912505462</vt:i4>
  </property>
  <property fmtid="{D5CDD505-2E9C-101B-9397-08002B2CF9AE}" pid="3" name="_EmailSubject">
    <vt:lpwstr/>
  </property>
  <property fmtid="{D5CDD505-2E9C-101B-9397-08002B2CF9AE}" pid="4" name="_AuthorEmail">
    <vt:lpwstr>yewweng@jotech.aic.com.my</vt:lpwstr>
  </property>
  <property fmtid="{D5CDD505-2E9C-101B-9397-08002B2CF9AE}" pid="5" name="_AuthorEmailDisplayName">
    <vt:lpwstr>Lee Yew Weng</vt:lpwstr>
  </property>
  <property fmtid="{D5CDD505-2E9C-101B-9397-08002B2CF9AE}" pid="6" name="_ReviewingToolsShownOnce">
    <vt:lpwstr/>
  </property>
</Properties>
</file>